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C9CD8" w14:textId="57EEDFE7" w:rsidR="006379D2" w:rsidRPr="00A54622" w:rsidRDefault="00F22B9C" w:rsidP="005C3AF7">
      <w:pPr>
        <w:jc w:val="center"/>
        <w:rPr>
          <w:rFonts w:ascii="Bookman Old Style" w:hAnsi="Bookman Old Style" w:cs="Arial"/>
          <w:lang w:val="es-MX"/>
        </w:rPr>
      </w:pPr>
      <w:r w:rsidRPr="00B67754">
        <w:rPr>
          <w:rFonts w:ascii="Bookman Old Style" w:hAnsi="Bookman Old Style" w:cs="Arial"/>
          <w:lang w:val="es-MX"/>
        </w:rPr>
        <w:t xml:space="preserve">  </w:t>
      </w:r>
      <w:r w:rsidR="007C133E" w:rsidRPr="00A54622">
        <w:rPr>
          <w:rFonts w:ascii="Bookman Old Style" w:hAnsi="Bookman Old Style" w:cs="Arial"/>
          <w:lang w:val="es-MX"/>
        </w:rPr>
        <w:t>Estado Libre Asociado de Puerto Rico</w:t>
      </w:r>
    </w:p>
    <w:p w14:paraId="4909C49D" w14:textId="77777777" w:rsidR="006379D2" w:rsidRPr="00A54622" w:rsidRDefault="006379D2">
      <w:pPr>
        <w:jc w:val="center"/>
        <w:rPr>
          <w:rFonts w:ascii="Bookman Old Style" w:hAnsi="Bookman Old Style" w:cs="Arial"/>
          <w:lang w:val="es-MX"/>
        </w:rPr>
      </w:pPr>
      <w:r w:rsidRPr="00A54622">
        <w:rPr>
          <w:rFonts w:ascii="Bookman Old Style" w:hAnsi="Bookman Old Style" w:cs="Arial"/>
          <w:lang w:val="es-MX"/>
        </w:rPr>
        <w:t>TRIBUNAL DE APELACIONES</w:t>
      </w:r>
    </w:p>
    <w:p w14:paraId="16C89314" w14:textId="0B88BCD8" w:rsidR="001B4B45" w:rsidRPr="00A54622" w:rsidRDefault="007A7689">
      <w:pPr>
        <w:jc w:val="center"/>
        <w:rPr>
          <w:rFonts w:ascii="Bookman Old Style" w:hAnsi="Bookman Old Style" w:cs="Arial"/>
          <w:lang w:val="es-MX"/>
        </w:rPr>
      </w:pPr>
      <w:r w:rsidRPr="00A54622">
        <w:rPr>
          <w:rFonts w:ascii="Bookman Old Style" w:hAnsi="Bookman Old Style" w:cs="Arial"/>
          <w:lang w:val="es-MX"/>
        </w:rPr>
        <w:t xml:space="preserve">PANEL </w:t>
      </w:r>
      <w:r w:rsidR="00B750FA" w:rsidRPr="00A54622">
        <w:rPr>
          <w:rFonts w:ascii="Bookman Old Style" w:hAnsi="Bookman Old Style" w:cs="Arial"/>
          <w:lang w:val="es-MX"/>
        </w:rPr>
        <w:t>VI</w:t>
      </w:r>
    </w:p>
    <w:p w14:paraId="27BF2A27" w14:textId="77777777" w:rsidR="00F123EF" w:rsidRPr="00A54622" w:rsidRDefault="00F123EF">
      <w:pPr>
        <w:jc w:val="center"/>
        <w:rPr>
          <w:rFonts w:ascii="Bookman Old Style" w:hAnsi="Bookman Old Style" w:cs="Arial"/>
          <w:lang w:val="es-MX"/>
        </w:rPr>
      </w:pPr>
    </w:p>
    <w:tbl>
      <w:tblPr>
        <w:tblW w:w="8085" w:type="dxa"/>
        <w:tblLayout w:type="fixed"/>
        <w:tblCellMar>
          <w:left w:w="70" w:type="dxa"/>
          <w:right w:w="70" w:type="dxa"/>
        </w:tblCellMar>
        <w:tblLook w:val="0000" w:firstRow="0" w:lastRow="0" w:firstColumn="0" w:lastColumn="0" w:noHBand="0" w:noVBand="0"/>
      </w:tblPr>
      <w:tblGrid>
        <w:gridCol w:w="3490"/>
        <w:gridCol w:w="2160"/>
        <w:gridCol w:w="2435"/>
      </w:tblGrid>
      <w:tr w:rsidR="006379D2" w:rsidRPr="00A54622" w14:paraId="680F6B1F" w14:textId="77777777" w:rsidTr="007B529F">
        <w:trPr>
          <w:trHeight w:val="3209"/>
        </w:trPr>
        <w:tc>
          <w:tcPr>
            <w:tcW w:w="3490" w:type="dxa"/>
            <w:tcBorders>
              <w:bottom w:val="single" w:sz="4" w:space="0" w:color="auto"/>
              <w:right w:val="single" w:sz="4" w:space="0" w:color="auto"/>
            </w:tcBorders>
          </w:tcPr>
          <w:p w14:paraId="29641E93" w14:textId="245E1F27" w:rsidR="00AB4D4A" w:rsidRPr="00A54622" w:rsidRDefault="00943FF9" w:rsidP="00612435">
            <w:pPr>
              <w:jc w:val="center"/>
              <w:rPr>
                <w:rFonts w:ascii="Bookman Old Style" w:hAnsi="Bookman Old Style" w:cs="Arial"/>
              </w:rPr>
            </w:pPr>
            <w:r w:rsidRPr="00A54622">
              <w:rPr>
                <w:rFonts w:ascii="Bookman Old Style" w:hAnsi="Bookman Old Style" w:cs="Arial"/>
              </w:rPr>
              <w:t>JOSÉ E. MATEO RIVERA</w:t>
            </w:r>
          </w:p>
          <w:p w14:paraId="2F9F6C17" w14:textId="120284D3" w:rsidR="00690881" w:rsidRPr="00A54622" w:rsidRDefault="00690881" w:rsidP="00612435">
            <w:pPr>
              <w:jc w:val="center"/>
              <w:rPr>
                <w:rFonts w:ascii="Bookman Old Style" w:hAnsi="Bookman Old Style" w:cs="Arial"/>
              </w:rPr>
            </w:pPr>
          </w:p>
          <w:p w14:paraId="61DF9F1B" w14:textId="4027BD06" w:rsidR="006B54C2" w:rsidRPr="00A54622" w:rsidRDefault="00943FF9" w:rsidP="00612435">
            <w:pPr>
              <w:jc w:val="center"/>
              <w:rPr>
                <w:rFonts w:ascii="Bookman Old Style" w:hAnsi="Bookman Old Style" w:cs="Arial"/>
              </w:rPr>
            </w:pPr>
            <w:r w:rsidRPr="00A54622">
              <w:rPr>
                <w:rFonts w:ascii="Bookman Old Style" w:hAnsi="Bookman Old Style" w:cs="Arial"/>
              </w:rPr>
              <w:t>Apelante</w:t>
            </w:r>
          </w:p>
          <w:p w14:paraId="326B34F0" w14:textId="77777777" w:rsidR="00943FF9" w:rsidRPr="00A54622" w:rsidRDefault="00943FF9" w:rsidP="00612435">
            <w:pPr>
              <w:jc w:val="center"/>
              <w:rPr>
                <w:rFonts w:ascii="Bookman Old Style" w:hAnsi="Bookman Old Style" w:cs="Arial"/>
              </w:rPr>
            </w:pPr>
          </w:p>
          <w:p w14:paraId="5AE7C8B7" w14:textId="77777777" w:rsidR="00612435" w:rsidRPr="00A54622" w:rsidRDefault="00612435" w:rsidP="00612435">
            <w:pPr>
              <w:jc w:val="center"/>
              <w:rPr>
                <w:rFonts w:ascii="Bookman Old Style" w:hAnsi="Bookman Old Style" w:cs="Arial"/>
              </w:rPr>
            </w:pPr>
            <w:r w:rsidRPr="00A54622">
              <w:rPr>
                <w:rFonts w:ascii="Bookman Old Style" w:hAnsi="Bookman Old Style" w:cs="Arial"/>
              </w:rPr>
              <w:t>v.</w:t>
            </w:r>
          </w:p>
          <w:p w14:paraId="090C02A1" w14:textId="77777777" w:rsidR="00612435" w:rsidRPr="00A54622" w:rsidRDefault="00612435" w:rsidP="00612435">
            <w:pPr>
              <w:jc w:val="center"/>
              <w:rPr>
                <w:rFonts w:ascii="Bookman Old Style" w:hAnsi="Bookman Old Style" w:cs="Arial"/>
              </w:rPr>
            </w:pPr>
          </w:p>
          <w:p w14:paraId="26019695" w14:textId="2F6AD03E" w:rsidR="00690881" w:rsidRPr="00A54622" w:rsidRDefault="00943FF9" w:rsidP="00612435">
            <w:pPr>
              <w:jc w:val="center"/>
              <w:rPr>
                <w:rFonts w:ascii="Bookman Old Style" w:hAnsi="Bookman Old Style" w:cs="Arial"/>
              </w:rPr>
            </w:pPr>
            <w:r w:rsidRPr="00A54622">
              <w:rPr>
                <w:rFonts w:ascii="Bookman Old Style" w:hAnsi="Bookman Old Style" w:cs="Arial"/>
              </w:rPr>
              <w:t>CONSEJO DE TITULARES DE GOLF VILLAS CONDOMINIUM COUNCIL OF OWNERS, JUNTA DE TITULARES DEL GOLF VILLAS CONDOMINIUM COUNCIL OF OWNERS, SEGURO A, B, C</w:t>
            </w:r>
          </w:p>
          <w:p w14:paraId="40A4F322" w14:textId="77777777" w:rsidR="00943FF9" w:rsidRPr="00A54622" w:rsidRDefault="00943FF9" w:rsidP="00612435">
            <w:pPr>
              <w:jc w:val="center"/>
              <w:rPr>
                <w:rFonts w:ascii="Bookman Old Style" w:hAnsi="Bookman Old Style" w:cs="Arial"/>
              </w:rPr>
            </w:pPr>
          </w:p>
          <w:p w14:paraId="6DBCFD82" w14:textId="3EDF67A8" w:rsidR="00943FF9" w:rsidRPr="00A54622" w:rsidRDefault="00943FF9" w:rsidP="00612435">
            <w:pPr>
              <w:jc w:val="center"/>
              <w:rPr>
                <w:rFonts w:ascii="Bookman Old Style" w:hAnsi="Bookman Old Style" w:cs="Arial"/>
              </w:rPr>
            </w:pPr>
            <w:r w:rsidRPr="00A54622">
              <w:rPr>
                <w:rFonts w:ascii="Bookman Old Style" w:hAnsi="Bookman Old Style" w:cs="Arial"/>
              </w:rPr>
              <w:t>Apelados</w:t>
            </w:r>
          </w:p>
          <w:p w14:paraId="64DD4DA0" w14:textId="18DBD222" w:rsidR="00AB4D4A" w:rsidRPr="00A54622" w:rsidRDefault="00AB4D4A" w:rsidP="00437741">
            <w:pPr>
              <w:jc w:val="center"/>
              <w:rPr>
                <w:rFonts w:ascii="Bookman Old Style" w:hAnsi="Bookman Old Style" w:cs="Arial"/>
              </w:rPr>
            </w:pPr>
          </w:p>
        </w:tc>
        <w:tc>
          <w:tcPr>
            <w:tcW w:w="2160" w:type="dxa"/>
            <w:tcBorders>
              <w:left w:val="single" w:sz="4" w:space="0" w:color="auto"/>
              <w:right w:val="single" w:sz="4" w:space="0" w:color="auto"/>
            </w:tcBorders>
          </w:tcPr>
          <w:p w14:paraId="18F7DA27" w14:textId="77777777" w:rsidR="00FF3E92" w:rsidRPr="00A54622" w:rsidRDefault="00FF3E92" w:rsidP="00BE6802">
            <w:pPr>
              <w:rPr>
                <w:rFonts w:ascii="Bookman Old Style" w:hAnsi="Bookman Old Style" w:cs="Arial"/>
              </w:rPr>
            </w:pPr>
          </w:p>
          <w:p w14:paraId="7778DAA3" w14:textId="77777777" w:rsidR="002C386F" w:rsidRPr="00A54622" w:rsidRDefault="002C386F" w:rsidP="00FF3E92">
            <w:pPr>
              <w:rPr>
                <w:rFonts w:ascii="Bookman Old Style" w:hAnsi="Bookman Old Style" w:cs="Arial"/>
              </w:rPr>
            </w:pPr>
          </w:p>
          <w:p w14:paraId="7268A290" w14:textId="77777777" w:rsidR="002C386F" w:rsidRPr="00A54622" w:rsidRDefault="002C386F" w:rsidP="00FF3E92">
            <w:pPr>
              <w:rPr>
                <w:rFonts w:ascii="Bookman Old Style" w:hAnsi="Bookman Old Style" w:cs="Arial"/>
              </w:rPr>
            </w:pPr>
          </w:p>
          <w:p w14:paraId="0710F63E" w14:textId="77777777" w:rsidR="008E19C7" w:rsidRPr="00A54622" w:rsidRDefault="008E19C7" w:rsidP="00A615CB">
            <w:pPr>
              <w:jc w:val="center"/>
              <w:rPr>
                <w:rFonts w:ascii="Bookman Old Style" w:hAnsi="Bookman Old Style" w:cs="Arial"/>
              </w:rPr>
            </w:pPr>
          </w:p>
          <w:p w14:paraId="30C362F8" w14:textId="65F0D780" w:rsidR="006971BE" w:rsidRPr="00A54622" w:rsidRDefault="00FB37C6" w:rsidP="00A615CB">
            <w:pPr>
              <w:jc w:val="center"/>
              <w:rPr>
                <w:rFonts w:ascii="Bookman Old Style" w:hAnsi="Bookman Old Style" w:cs="Arial"/>
                <w:lang w:val="es-MX"/>
              </w:rPr>
            </w:pPr>
            <w:r w:rsidRPr="00A54622">
              <w:rPr>
                <w:rFonts w:ascii="Bookman Old Style" w:hAnsi="Bookman Old Style" w:cs="Arial"/>
                <w:lang w:val="es-MX"/>
              </w:rPr>
              <w:t>KL</w:t>
            </w:r>
            <w:r w:rsidR="00690881" w:rsidRPr="00A54622">
              <w:rPr>
                <w:rFonts w:ascii="Bookman Old Style" w:hAnsi="Bookman Old Style" w:cs="Arial"/>
                <w:lang w:val="es-MX"/>
              </w:rPr>
              <w:t>AN20</w:t>
            </w:r>
            <w:r w:rsidR="00943FF9" w:rsidRPr="00A54622">
              <w:rPr>
                <w:rFonts w:ascii="Bookman Old Style" w:hAnsi="Bookman Old Style" w:cs="Arial"/>
                <w:lang w:val="es-MX"/>
              </w:rPr>
              <w:t>2500085</w:t>
            </w:r>
          </w:p>
        </w:tc>
        <w:tc>
          <w:tcPr>
            <w:tcW w:w="2435" w:type="dxa"/>
            <w:tcBorders>
              <w:left w:val="single" w:sz="4" w:space="0" w:color="auto"/>
              <w:bottom w:val="single" w:sz="4" w:space="0" w:color="auto"/>
            </w:tcBorders>
          </w:tcPr>
          <w:p w14:paraId="52B891A5" w14:textId="45903B18" w:rsidR="005255A9" w:rsidRPr="00A54622" w:rsidRDefault="00690881" w:rsidP="00612435">
            <w:pPr>
              <w:rPr>
                <w:rFonts w:ascii="Bookman Old Style" w:hAnsi="Bookman Old Style" w:cs="Arial"/>
                <w:lang w:val="es-MX"/>
              </w:rPr>
            </w:pPr>
            <w:r w:rsidRPr="00A54622">
              <w:rPr>
                <w:rFonts w:ascii="Bookman Old Style" w:hAnsi="Bookman Old Style" w:cs="Arial"/>
                <w:i/>
                <w:iCs/>
                <w:lang w:val="es-MX"/>
              </w:rPr>
              <w:t xml:space="preserve">APELACIÓN </w:t>
            </w:r>
            <w:r w:rsidR="005E6DD1" w:rsidRPr="00A54622">
              <w:rPr>
                <w:rFonts w:ascii="Bookman Old Style" w:hAnsi="Bookman Old Style" w:cs="Arial"/>
                <w:lang w:val="es-MX"/>
              </w:rPr>
              <w:t xml:space="preserve">procedente </w:t>
            </w:r>
            <w:r w:rsidR="0095061D" w:rsidRPr="00A54622">
              <w:rPr>
                <w:rFonts w:ascii="Bookman Old Style" w:hAnsi="Bookman Old Style" w:cs="Arial"/>
                <w:lang w:val="es-MX"/>
              </w:rPr>
              <w:t>de</w:t>
            </w:r>
            <w:r w:rsidRPr="00A54622">
              <w:rPr>
                <w:rFonts w:ascii="Bookman Old Style" w:hAnsi="Bookman Old Style" w:cs="Arial"/>
                <w:lang w:val="es-MX"/>
              </w:rPr>
              <w:t xml:space="preserve">l </w:t>
            </w:r>
            <w:r w:rsidR="00943FF9" w:rsidRPr="00A54622">
              <w:rPr>
                <w:rFonts w:ascii="Bookman Old Style" w:hAnsi="Bookman Old Style" w:cs="Arial"/>
                <w:lang w:val="es-MX"/>
              </w:rPr>
              <w:t>Tribunal de Primera Instancia, Sala Superior de Ponce</w:t>
            </w:r>
          </w:p>
          <w:p w14:paraId="0DB840B5" w14:textId="77777777" w:rsidR="00CD673E" w:rsidRPr="00A54622" w:rsidRDefault="00CD673E" w:rsidP="00612435">
            <w:pPr>
              <w:rPr>
                <w:rFonts w:ascii="Bookman Old Style" w:hAnsi="Bookman Old Style" w:cs="Arial"/>
                <w:lang w:val="es-MX"/>
              </w:rPr>
            </w:pPr>
          </w:p>
          <w:p w14:paraId="70972A74" w14:textId="037819B7" w:rsidR="00F70511" w:rsidRPr="00A54622" w:rsidRDefault="00006F3F" w:rsidP="00612435">
            <w:pPr>
              <w:rPr>
                <w:rFonts w:ascii="Bookman Old Style" w:hAnsi="Bookman Old Style" w:cs="Arial"/>
                <w:lang w:val="es-MX"/>
              </w:rPr>
            </w:pPr>
            <w:r w:rsidRPr="00A54622">
              <w:rPr>
                <w:rFonts w:ascii="Bookman Old Style" w:hAnsi="Bookman Old Style" w:cs="Arial"/>
                <w:lang w:val="es-MX"/>
              </w:rPr>
              <w:t>Caso</w:t>
            </w:r>
            <w:r w:rsidR="00690881" w:rsidRPr="00A54622">
              <w:rPr>
                <w:rFonts w:ascii="Bookman Old Style" w:hAnsi="Bookman Old Style" w:cs="Arial"/>
                <w:lang w:val="es-MX"/>
              </w:rPr>
              <w:t xml:space="preserve"> </w:t>
            </w:r>
            <w:r w:rsidR="00F70511" w:rsidRPr="00A54622">
              <w:rPr>
                <w:rFonts w:ascii="Bookman Old Style" w:hAnsi="Bookman Old Style" w:cs="Arial"/>
                <w:lang w:val="es-MX"/>
              </w:rPr>
              <w:t>número:</w:t>
            </w:r>
          </w:p>
          <w:p w14:paraId="53031DAC" w14:textId="2304FF22" w:rsidR="00690881" w:rsidRPr="00A54622" w:rsidRDefault="00943FF9" w:rsidP="00612435">
            <w:pPr>
              <w:rPr>
                <w:rFonts w:ascii="Bookman Old Style" w:hAnsi="Bookman Old Style" w:cs="Arial"/>
                <w:lang w:val="es-MX"/>
              </w:rPr>
            </w:pPr>
            <w:r w:rsidRPr="00A54622">
              <w:rPr>
                <w:rFonts w:ascii="Bookman Old Style" w:hAnsi="Bookman Old Style" w:cs="Arial"/>
                <w:lang w:val="es-MX"/>
              </w:rPr>
              <w:t>PO2022CV01765</w:t>
            </w:r>
          </w:p>
          <w:p w14:paraId="08A36246" w14:textId="77777777" w:rsidR="00943FF9" w:rsidRPr="00A54622" w:rsidRDefault="00943FF9" w:rsidP="00612435">
            <w:pPr>
              <w:rPr>
                <w:rFonts w:ascii="Bookman Old Style" w:hAnsi="Bookman Old Style" w:cs="Arial"/>
                <w:lang w:val="es-MX"/>
              </w:rPr>
            </w:pPr>
          </w:p>
          <w:p w14:paraId="4EEE6F4E" w14:textId="77777777" w:rsidR="00F70511" w:rsidRPr="00A54622" w:rsidRDefault="00F70511" w:rsidP="00612435">
            <w:pPr>
              <w:rPr>
                <w:rFonts w:ascii="Bookman Old Style" w:hAnsi="Bookman Old Style" w:cs="Arial"/>
                <w:lang w:val="es-MX"/>
              </w:rPr>
            </w:pPr>
            <w:r w:rsidRPr="00A54622">
              <w:rPr>
                <w:rFonts w:ascii="Bookman Old Style" w:hAnsi="Bookman Old Style" w:cs="Arial"/>
                <w:lang w:val="es-MX"/>
              </w:rPr>
              <w:t>Sobre:</w:t>
            </w:r>
          </w:p>
          <w:p w14:paraId="2C30D2B0" w14:textId="295BDEC1" w:rsidR="00690881" w:rsidRPr="00A54622" w:rsidRDefault="00943FF9" w:rsidP="00006F3F">
            <w:pPr>
              <w:rPr>
                <w:rFonts w:ascii="Bookman Old Style" w:hAnsi="Bookman Old Style" w:cs="Arial"/>
                <w:lang w:val="es-MX"/>
              </w:rPr>
            </w:pPr>
            <w:r w:rsidRPr="00A54622">
              <w:rPr>
                <w:rFonts w:ascii="Bookman Old Style" w:hAnsi="Bookman Old Style" w:cs="Arial"/>
                <w:lang w:val="es-MX"/>
              </w:rPr>
              <w:t>Incumplimiento de contrato</w:t>
            </w:r>
          </w:p>
        </w:tc>
      </w:tr>
    </w:tbl>
    <w:p w14:paraId="328D8584" w14:textId="77777777" w:rsidR="00455328" w:rsidRPr="00A54622" w:rsidRDefault="00455328" w:rsidP="00455328">
      <w:pPr>
        <w:jc w:val="both"/>
        <w:rPr>
          <w:rFonts w:ascii="Bookman Old Style" w:hAnsi="Bookman Old Style" w:cs="Arial"/>
        </w:rPr>
      </w:pPr>
    </w:p>
    <w:p w14:paraId="1723A05A" w14:textId="3A34CD4F" w:rsidR="00CD2C35" w:rsidRPr="00A54622" w:rsidRDefault="00CD2C35" w:rsidP="00CD2C35">
      <w:pPr>
        <w:jc w:val="both"/>
        <w:rPr>
          <w:rFonts w:ascii="Bookman Old Style" w:hAnsi="Bookman Old Style" w:cs="Arial"/>
        </w:rPr>
      </w:pPr>
      <w:r w:rsidRPr="00A54622">
        <w:rPr>
          <w:rFonts w:ascii="Bookman Old Style" w:hAnsi="Bookman Old Style" w:cs="Arial"/>
        </w:rPr>
        <w:t>Panel integrado por su presidenta, la juez</w:t>
      </w:r>
      <w:r w:rsidR="00814626" w:rsidRPr="00A54622">
        <w:rPr>
          <w:rFonts w:ascii="Bookman Old Style" w:hAnsi="Bookman Old Style" w:cs="Arial"/>
        </w:rPr>
        <w:t>a</w:t>
      </w:r>
      <w:r w:rsidRPr="00A54622">
        <w:rPr>
          <w:rFonts w:ascii="Bookman Old Style" w:hAnsi="Bookman Old Style" w:cs="Arial"/>
        </w:rPr>
        <w:t xml:space="preserve"> Ortiz Flores, la juez</w:t>
      </w:r>
      <w:r w:rsidR="00814626" w:rsidRPr="00A54622">
        <w:rPr>
          <w:rFonts w:ascii="Bookman Old Style" w:hAnsi="Bookman Old Style" w:cs="Arial"/>
        </w:rPr>
        <w:t xml:space="preserve"> </w:t>
      </w:r>
      <w:r w:rsidRPr="00A54622">
        <w:rPr>
          <w:rFonts w:ascii="Bookman Old Style" w:hAnsi="Bookman Old Style" w:cs="Arial"/>
        </w:rPr>
        <w:t>Aldebol Mora y la juez</w:t>
      </w:r>
      <w:r w:rsidR="00814626" w:rsidRPr="00A54622">
        <w:rPr>
          <w:rFonts w:ascii="Bookman Old Style" w:hAnsi="Bookman Old Style" w:cs="Arial"/>
        </w:rPr>
        <w:t>a</w:t>
      </w:r>
      <w:r w:rsidRPr="00A54622">
        <w:rPr>
          <w:rFonts w:ascii="Bookman Old Style" w:hAnsi="Bookman Old Style" w:cs="Arial"/>
        </w:rPr>
        <w:t xml:space="preserve"> Boria Vizcarrondo.</w:t>
      </w:r>
    </w:p>
    <w:p w14:paraId="5E67CF5A" w14:textId="77777777" w:rsidR="00F404B8" w:rsidRPr="00A54622" w:rsidRDefault="00F404B8" w:rsidP="00CD2C35">
      <w:pPr>
        <w:jc w:val="both"/>
        <w:rPr>
          <w:rFonts w:ascii="Bookman Old Style" w:hAnsi="Bookman Old Style" w:cs="Arial"/>
        </w:rPr>
      </w:pPr>
    </w:p>
    <w:p w14:paraId="106C42B6" w14:textId="602F7494" w:rsidR="00F404B8" w:rsidRPr="00A54622" w:rsidRDefault="00F404B8" w:rsidP="00CD2C35">
      <w:pPr>
        <w:jc w:val="both"/>
        <w:rPr>
          <w:rFonts w:ascii="Bookman Old Style" w:hAnsi="Bookman Old Style" w:cs="Arial"/>
        </w:rPr>
      </w:pPr>
      <w:r w:rsidRPr="00A54622">
        <w:rPr>
          <w:rFonts w:ascii="Bookman Old Style" w:hAnsi="Bookman Old Style" w:cs="Arial"/>
        </w:rPr>
        <w:t>Aldebol Mora, Juez Ponente</w:t>
      </w:r>
    </w:p>
    <w:p w14:paraId="316033C7" w14:textId="77777777" w:rsidR="00B31D24" w:rsidRPr="00A54622" w:rsidRDefault="00B31D24" w:rsidP="003C1010">
      <w:pPr>
        <w:pStyle w:val="Heading1"/>
        <w:jc w:val="left"/>
        <w:rPr>
          <w:rFonts w:ascii="Bookman Old Style" w:hAnsi="Bookman Old Style" w:cs="Arial"/>
          <w:sz w:val="22"/>
          <w:szCs w:val="22"/>
          <w:u w:val="none"/>
          <w:lang w:val="es-PR"/>
        </w:rPr>
      </w:pPr>
    </w:p>
    <w:p w14:paraId="2557FBE4" w14:textId="0C09BA71" w:rsidR="006379D2" w:rsidRPr="00A54622" w:rsidRDefault="00576728">
      <w:pPr>
        <w:pStyle w:val="Heading1"/>
        <w:rPr>
          <w:rFonts w:ascii="Bookman Old Style" w:hAnsi="Bookman Old Style" w:cs="Arial"/>
          <w:szCs w:val="24"/>
          <w:u w:val="none"/>
        </w:rPr>
      </w:pPr>
      <w:r w:rsidRPr="00A54622">
        <w:rPr>
          <w:rFonts w:ascii="Bookman Old Style" w:hAnsi="Bookman Old Style" w:cs="Arial"/>
          <w:spacing w:val="50"/>
          <w:sz w:val="28"/>
          <w:szCs w:val="28"/>
          <w:u w:val="none"/>
        </w:rPr>
        <w:t>SENTENCIA</w:t>
      </w:r>
    </w:p>
    <w:p w14:paraId="3B670DC1" w14:textId="77777777" w:rsidR="006379D2" w:rsidRPr="00A54622" w:rsidRDefault="006379D2">
      <w:pPr>
        <w:rPr>
          <w:rFonts w:ascii="Bookman Old Style" w:hAnsi="Bookman Old Style" w:cs="Arial"/>
          <w:lang w:val="es-MX"/>
        </w:rPr>
      </w:pPr>
    </w:p>
    <w:p w14:paraId="7B877A3A" w14:textId="63B44AD9" w:rsidR="00123571" w:rsidRPr="00A54622" w:rsidRDefault="005C3AF7" w:rsidP="00455328">
      <w:pPr>
        <w:spacing w:line="480" w:lineRule="auto"/>
        <w:contextualSpacing/>
        <w:rPr>
          <w:rFonts w:ascii="Bookman Old Style" w:hAnsi="Bookman Old Style" w:cs="Arial"/>
          <w:lang w:val="es-MX"/>
        </w:rPr>
      </w:pPr>
      <w:r w:rsidRPr="00A54622">
        <w:rPr>
          <w:rFonts w:ascii="Bookman Old Style" w:hAnsi="Bookman Old Style" w:cs="Arial"/>
          <w:lang w:val="es-MX"/>
        </w:rPr>
        <w:t xml:space="preserve">En San Juan, Puerto Rico, a </w:t>
      </w:r>
      <w:r w:rsidR="004B248C" w:rsidRPr="00A54622">
        <w:rPr>
          <w:rFonts w:ascii="Bookman Old Style" w:hAnsi="Bookman Old Style" w:cs="Arial"/>
          <w:lang w:val="es-MX"/>
        </w:rPr>
        <w:t>12</w:t>
      </w:r>
      <w:r w:rsidR="00690881" w:rsidRPr="00A54622">
        <w:rPr>
          <w:rFonts w:ascii="Bookman Old Style" w:hAnsi="Bookman Old Style" w:cs="Arial"/>
          <w:lang w:val="es-MX"/>
        </w:rPr>
        <w:t xml:space="preserve"> de </w:t>
      </w:r>
      <w:r w:rsidR="00576728" w:rsidRPr="00A54622">
        <w:rPr>
          <w:rFonts w:ascii="Bookman Old Style" w:hAnsi="Bookman Old Style" w:cs="Arial"/>
          <w:lang w:val="es-MX"/>
        </w:rPr>
        <w:t>mayo</w:t>
      </w:r>
      <w:r w:rsidR="00690881" w:rsidRPr="00A54622">
        <w:rPr>
          <w:rFonts w:ascii="Bookman Old Style" w:hAnsi="Bookman Old Style" w:cs="Arial"/>
          <w:lang w:val="es-MX"/>
        </w:rPr>
        <w:t xml:space="preserve"> de 202</w:t>
      </w:r>
      <w:r w:rsidR="008C6FB7" w:rsidRPr="00A54622">
        <w:rPr>
          <w:rFonts w:ascii="Bookman Old Style" w:hAnsi="Bookman Old Style" w:cs="Arial"/>
          <w:lang w:val="es-MX"/>
        </w:rPr>
        <w:t>4</w:t>
      </w:r>
      <w:r w:rsidR="007763B6" w:rsidRPr="00A54622">
        <w:rPr>
          <w:rFonts w:ascii="Bookman Old Style" w:hAnsi="Bookman Old Style" w:cs="Arial"/>
          <w:lang w:val="es-MX"/>
        </w:rPr>
        <w:t>.</w:t>
      </w:r>
    </w:p>
    <w:p w14:paraId="2B433425" w14:textId="795E1D77" w:rsidR="00535815" w:rsidRPr="00A54622" w:rsidRDefault="00535815" w:rsidP="00535815">
      <w:pPr>
        <w:spacing w:line="480" w:lineRule="auto"/>
        <w:ind w:firstLine="720"/>
        <w:contextualSpacing/>
        <w:jc w:val="both"/>
        <w:rPr>
          <w:rFonts w:ascii="Bookman Old Style" w:hAnsi="Bookman Old Style" w:cs="Arial"/>
          <w:lang w:val="es-MX"/>
        </w:rPr>
      </w:pPr>
      <w:r w:rsidRPr="00A54622">
        <w:rPr>
          <w:rStyle w:val="normaltextrun"/>
          <w:rFonts w:ascii="Bookman Old Style" w:hAnsi="Bookman Old Style"/>
          <w:shd w:val="clear" w:color="auto" w:fill="FFFFFF"/>
          <w:lang w:val="es-MX"/>
        </w:rPr>
        <w:t xml:space="preserve">Comparece ante nos José E. Mateo Rivera mediante el presente recurso de </w:t>
      </w:r>
      <w:r w:rsidRPr="00A54622">
        <w:rPr>
          <w:rStyle w:val="normaltextrun"/>
          <w:rFonts w:ascii="Bookman Old Style" w:hAnsi="Bookman Old Style"/>
          <w:i/>
          <w:iCs/>
          <w:shd w:val="clear" w:color="auto" w:fill="FFFFFF"/>
          <w:lang w:val="es-MX"/>
        </w:rPr>
        <w:t>Apelación</w:t>
      </w:r>
      <w:r w:rsidRPr="00A54622">
        <w:rPr>
          <w:rStyle w:val="normaltextrun"/>
          <w:rFonts w:ascii="Bookman Old Style" w:hAnsi="Bookman Old Style"/>
          <w:shd w:val="clear" w:color="auto" w:fill="FFFFFF"/>
          <w:lang w:val="es-MX"/>
        </w:rPr>
        <w:t xml:space="preserve"> y nos solicita que revoquemos la </w:t>
      </w:r>
      <w:r w:rsidRPr="00A54622">
        <w:rPr>
          <w:rStyle w:val="normaltextrun"/>
          <w:rFonts w:ascii="Bookman Old Style" w:hAnsi="Bookman Old Style"/>
          <w:i/>
          <w:iCs/>
          <w:shd w:val="clear" w:color="auto" w:fill="FFFFFF"/>
          <w:lang w:val="es-MX"/>
        </w:rPr>
        <w:t xml:space="preserve">Sentencia </w:t>
      </w:r>
      <w:r w:rsidRPr="00A54622">
        <w:rPr>
          <w:rStyle w:val="normaltextrun"/>
          <w:rFonts w:ascii="Bookman Old Style" w:hAnsi="Bookman Old Style"/>
          <w:shd w:val="clear" w:color="auto" w:fill="FFFFFF"/>
          <w:lang w:val="es-MX"/>
        </w:rPr>
        <w:t xml:space="preserve">emitida por el Tribunal de Primera Instancia, Sala Superior de Ponce, el 17 de diciembre de 2024. En el aludido dictamen, el foro sentenciador declaró Ha Lugar la </w:t>
      </w:r>
      <w:r w:rsidRPr="00A54622">
        <w:rPr>
          <w:rStyle w:val="normaltextrun"/>
          <w:rFonts w:ascii="Bookman Old Style" w:hAnsi="Bookman Old Style"/>
          <w:i/>
          <w:iCs/>
          <w:shd w:val="clear" w:color="auto" w:fill="FFFFFF"/>
          <w:lang w:val="es-MX"/>
        </w:rPr>
        <w:t>Segunda Solicitud de Sentencia Sumaria</w:t>
      </w:r>
      <w:r w:rsidRPr="00A54622">
        <w:rPr>
          <w:rStyle w:val="normaltextrun"/>
          <w:rFonts w:ascii="Bookman Old Style" w:hAnsi="Bookman Old Style"/>
          <w:shd w:val="clear" w:color="auto" w:fill="FFFFFF"/>
          <w:lang w:val="es-MX"/>
        </w:rPr>
        <w:t xml:space="preserve"> presentada por el Consejo de Titulares de Golf Villas </w:t>
      </w:r>
      <w:proofErr w:type="spellStart"/>
      <w:r w:rsidRPr="00A54622">
        <w:rPr>
          <w:rStyle w:val="normaltextrun"/>
          <w:rFonts w:ascii="Bookman Old Style" w:hAnsi="Bookman Old Style"/>
          <w:shd w:val="clear" w:color="auto" w:fill="FFFFFF"/>
          <w:lang w:val="es-MX"/>
        </w:rPr>
        <w:t>Condominium</w:t>
      </w:r>
      <w:proofErr w:type="spellEnd"/>
      <w:r w:rsidRPr="00A54622">
        <w:rPr>
          <w:rStyle w:val="normaltextrun"/>
          <w:rFonts w:ascii="Bookman Old Style" w:hAnsi="Bookman Old Style"/>
          <w:shd w:val="clear" w:color="auto" w:fill="FFFFFF"/>
          <w:lang w:val="es-MX"/>
        </w:rPr>
        <w:t xml:space="preserve"> Council of </w:t>
      </w:r>
      <w:proofErr w:type="spellStart"/>
      <w:r w:rsidRPr="00A54622">
        <w:rPr>
          <w:rStyle w:val="normaltextrun"/>
          <w:rFonts w:ascii="Bookman Old Style" w:hAnsi="Bookman Old Style"/>
          <w:shd w:val="clear" w:color="auto" w:fill="FFFFFF"/>
          <w:lang w:val="es-MX"/>
        </w:rPr>
        <w:t>Owners</w:t>
      </w:r>
      <w:proofErr w:type="spellEnd"/>
      <w:r w:rsidRPr="00A54622">
        <w:rPr>
          <w:rStyle w:val="normaltextrun"/>
          <w:rFonts w:ascii="Bookman Old Style" w:hAnsi="Bookman Old Style"/>
          <w:shd w:val="clear" w:color="auto" w:fill="FFFFFF"/>
          <w:lang w:val="es-MX"/>
        </w:rPr>
        <w:t xml:space="preserve"> y la Junta de Titulares del Golf Villas </w:t>
      </w:r>
      <w:proofErr w:type="spellStart"/>
      <w:r w:rsidRPr="00A54622">
        <w:rPr>
          <w:rStyle w:val="normaltextrun"/>
          <w:rFonts w:ascii="Bookman Old Style" w:hAnsi="Bookman Old Style"/>
          <w:shd w:val="clear" w:color="auto" w:fill="FFFFFF"/>
          <w:lang w:val="es-MX"/>
        </w:rPr>
        <w:t>Condominium</w:t>
      </w:r>
      <w:proofErr w:type="spellEnd"/>
      <w:r w:rsidRPr="00A54622">
        <w:rPr>
          <w:rStyle w:val="normaltextrun"/>
          <w:rFonts w:ascii="Bookman Old Style" w:hAnsi="Bookman Old Style"/>
          <w:shd w:val="clear" w:color="auto" w:fill="FFFFFF"/>
          <w:lang w:val="es-MX"/>
        </w:rPr>
        <w:t xml:space="preserve"> </w:t>
      </w:r>
      <w:r w:rsidR="002A0598" w:rsidRPr="00A54622">
        <w:rPr>
          <w:rStyle w:val="normaltextrun"/>
          <w:rFonts w:ascii="Bookman Old Style" w:hAnsi="Bookman Old Style"/>
          <w:shd w:val="clear" w:color="auto" w:fill="FFFFFF"/>
          <w:lang w:val="es-MX"/>
        </w:rPr>
        <w:t xml:space="preserve">Council </w:t>
      </w:r>
      <w:r w:rsidRPr="00A54622">
        <w:rPr>
          <w:rStyle w:val="normaltextrun"/>
          <w:rFonts w:ascii="Bookman Old Style" w:hAnsi="Bookman Old Style"/>
          <w:shd w:val="clear" w:color="auto" w:fill="FFFFFF"/>
          <w:lang w:val="es-MX"/>
        </w:rPr>
        <w:t xml:space="preserve">of </w:t>
      </w:r>
      <w:proofErr w:type="spellStart"/>
      <w:r w:rsidRPr="00A54622">
        <w:rPr>
          <w:rStyle w:val="normaltextrun"/>
          <w:rFonts w:ascii="Bookman Old Style" w:hAnsi="Bookman Old Style"/>
          <w:shd w:val="clear" w:color="auto" w:fill="FFFFFF"/>
          <w:lang w:val="es-MX"/>
        </w:rPr>
        <w:t>Owners</w:t>
      </w:r>
      <w:proofErr w:type="spellEnd"/>
      <w:r w:rsidRPr="00A54622">
        <w:rPr>
          <w:rStyle w:val="normaltextrun"/>
          <w:rFonts w:ascii="Bookman Old Style" w:hAnsi="Bookman Old Style"/>
          <w:shd w:val="clear" w:color="auto" w:fill="FFFFFF"/>
          <w:lang w:val="es-MX"/>
        </w:rPr>
        <w:t>.</w:t>
      </w:r>
      <w:r w:rsidRPr="00A54622">
        <w:rPr>
          <w:rStyle w:val="eop"/>
          <w:rFonts w:ascii="Bookman Old Style" w:hAnsi="Bookman Old Style"/>
          <w:shd w:val="clear" w:color="auto" w:fill="FFFFFF"/>
        </w:rPr>
        <w:t> </w:t>
      </w:r>
      <w:r w:rsidR="003601C4" w:rsidRPr="00A54622">
        <w:rPr>
          <w:rFonts w:ascii="Bookman Old Style" w:hAnsi="Bookman Old Style" w:cs="Arial"/>
          <w:lang w:val="es-MX"/>
        </w:rPr>
        <w:tab/>
      </w:r>
    </w:p>
    <w:p w14:paraId="7333CED2" w14:textId="02344B8E" w:rsidR="00EE69C6" w:rsidRPr="00A54622" w:rsidRDefault="003601C4" w:rsidP="00535815">
      <w:pPr>
        <w:spacing w:line="480" w:lineRule="auto"/>
        <w:ind w:firstLine="720"/>
        <w:contextualSpacing/>
        <w:jc w:val="both"/>
        <w:rPr>
          <w:rFonts w:ascii="Bookman Old Style" w:hAnsi="Bookman Old Style" w:cs="Arial"/>
          <w:lang w:val="es-MX"/>
        </w:rPr>
      </w:pPr>
      <w:r w:rsidRPr="00A54622">
        <w:rPr>
          <w:rFonts w:ascii="Bookman Old Style" w:hAnsi="Bookman Old Style" w:cs="Arial"/>
          <w:lang w:val="es-MX"/>
        </w:rPr>
        <w:t xml:space="preserve">Por los fundamentos que expondremos a continuación, confirmamos el dictamen apelado. </w:t>
      </w:r>
    </w:p>
    <w:p w14:paraId="114E53D2" w14:textId="581C4681" w:rsidR="00EE69C6" w:rsidRPr="00A54622" w:rsidRDefault="00EE69C6" w:rsidP="005006F0">
      <w:pPr>
        <w:spacing w:line="480" w:lineRule="auto"/>
        <w:contextualSpacing/>
        <w:jc w:val="center"/>
        <w:rPr>
          <w:rFonts w:ascii="Bookman Old Style" w:hAnsi="Bookman Old Style" w:cs="Arial"/>
          <w:b/>
          <w:bCs/>
          <w:lang w:val="es-MX"/>
        </w:rPr>
      </w:pPr>
      <w:r w:rsidRPr="00A54622">
        <w:rPr>
          <w:rFonts w:ascii="Bookman Old Style" w:hAnsi="Bookman Old Style" w:cs="Arial"/>
          <w:b/>
          <w:bCs/>
          <w:lang w:val="es-MX"/>
        </w:rPr>
        <w:t>I</w:t>
      </w:r>
    </w:p>
    <w:p w14:paraId="61D3AAA1" w14:textId="79016434" w:rsidR="00535815" w:rsidRPr="00A54622" w:rsidRDefault="00535815" w:rsidP="00DF0A88">
      <w:pPr>
        <w:spacing w:line="480" w:lineRule="auto"/>
        <w:ind w:firstLine="720"/>
        <w:contextualSpacing/>
        <w:jc w:val="both"/>
        <w:rPr>
          <w:rStyle w:val="eop"/>
          <w:rFonts w:ascii="Bookman Old Style" w:hAnsi="Bookman Old Style"/>
          <w:shd w:val="clear" w:color="auto" w:fill="FFFFFF"/>
        </w:rPr>
      </w:pPr>
      <w:r w:rsidRPr="00A54622">
        <w:rPr>
          <w:rStyle w:val="normaltextrun"/>
          <w:rFonts w:ascii="Bookman Old Style" w:hAnsi="Bookman Old Style"/>
          <w:shd w:val="clear" w:color="auto" w:fill="FFFFFF"/>
          <w:lang w:val="es-MX"/>
        </w:rPr>
        <w:t xml:space="preserve">El 1 de julio de 2022, José E. Mateo Rivera (Mateo Rivera) incoó una </w:t>
      </w:r>
      <w:r w:rsidRPr="00A54622">
        <w:rPr>
          <w:rStyle w:val="normaltextrun"/>
          <w:rFonts w:ascii="Bookman Old Style" w:hAnsi="Bookman Old Style"/>
          <w:i/>
          <w:iCs/>
          <w:shd w:val="clear" w:color="auto" w:fill="FFFFFF"/>
          <w:lang w:val="es-MX"/>
        </w:rPr>
        <w:t xml:space="preserve">Demanda </w:t>
      </w:r>
      <w:r w:rsidRPr="00A54622">
        <w:rPr>
          <w:rStyle w:val="normaltextrun"/>
          <w:rFonts w:ascii="Bookman Old Style" w:hAnsi="Bookman Old Style"/>
          <w:shd w:val="clear" w:color="auto" w:fill="FFFFFF"/>
          <w:lang w:val="es-MX"/>
        </w:rPr>
        <w:t xml:space="preserve">sobre incumplimiento de contrato </w:t>
      </w:r>
      <w:r w:rsidR="002A0598" w:rsidRPr="00A54622">
        <w:rPr>
          <w:rStyle w:val="normaltextrun"/>
          <w:rFonts w:ascii="Bookman Old Style" w:hAnsi="Bookman Old Style"/>
          <w:shd w:val="clear" w:color="auto" w:fill="FFFFFF"/>
          <w:lang w:val="es-MX"/>
        </w:rPr>
        <w:t xml:space="preserve">en </w:t>
      </w:r>
      <w:r w:rsidRPr="00A54622">
        <w:rPr>
          <w:rStyle w:val="normaltextrun"/>
          <w:rFonts w:ascii="Bookman Old Style" w:hAnsi="Bookman Old Style"/>
          <w:shd w:val="clear" w:color="auto" w:fill="FFFFFF"/>
          <w:lang w:val="es-MX"/>
        </w:rPr>
        <w:t xml:space="preserve">contra </w:t>
      </w:r>
      <w:r w:rsidR="002A0598" w:rsidRPr="00A54622">
        <w:rPr>
          <w:rStyle w:val="normaltextrun"/>
          <w:rFonts w:ascii="Bookman Old Style" w:hAnsi="Bookman Old Style"/>
          <w:shd w:val="clear" w:color="auto" w:fill="FFFFFF"/>
          <w:lang w:val="es-MX"/>
        </w:rPr>
        <w:t>d</w:t>
      </w:r>
      <w:r w:rsidRPr="00A54622">
        <w:rPr>
          <w:rStyle w:val="normaltextrun"/>
          <w:rFonts w:ascii="Bookman Old Style" w:hAnsi="Bookman Old Style"/>
          <w:shd w:val="clear" w:color="auto" w:fill="FFFFFF"/>
          <w:lang w:val="es-MX"/>
        </w:rPr>
        <w:t xml:space="preserve">el Consejo de Titulares de Golf Villas </w:t>
      </w:r>
      <w:proofErr w:type="spellStart"/>
      <w:r w:rsidRPr="00A54622">
        <w:rPr>
          <w:rStyle w:val="normaltextrun"/>
          <w:rFonts w:ascii="Bookman Old Style" w:hAnsi="Bookman Old Style"/>
          <w:shd w:val="clear" w:color="auto" w:fill="FFFFFF"/>
          <w:lang w:val="es-MX"/>
        </w:rPr>
        <w:t>Condominium</w:t>
      </w:r>
      <w:proofErr w:type="spellEnd"/>
      <w:r w:rsidRPr="00A54622">
        <w:rPr>
          <w:rStyle w:val="normaltextrun"/>
          <w:rFonts w:ascii="Bookman Old Style" w:hAnsi="Bookman Old Style"/>
          <w:shd w:val="clear" w:color="auto" w:fill="FFFFFF"/>
          <w:lang w:val="es-MX"/>
        </w:rPr>
        <w:t xml:space="preserve"> Council of </w:t>
      </w:r>
      <w:proofErr w:type="spellStart"/>
      <w:r w:rsidRPr="00A54622">
        <w:rPr>
          <w:rStyle w:val="normaltextrun"/>
          <w:rFonts w:ascii="Bookman Old Style" w:hAnsi="Bookman Old Style"/>
          <w:shd w:val="clear" w:color="auto" w:fill="FFFFFF"/>
          <w:lang w:val="es-MX"/>
        </w:rPr>
        <w:t>Owners</w:t>
      </w:r>
      <w:proofErr w:type="spellEnd"/>
      <w:r w:rsidRPr="00A54622">
        <w:rPr>
          <w:rStyle w:val="normaltextrun"/>
          <w:rFonts w:ascii="Bookman Old Style" w:hAnsi="Bookman Old Style"/>
          <w:shd w:val="clear" w:color="auto" w:fill="FFFFFF"/>
          <w:lang w:val="es-MX"/>
        </w:rPr>
        <w:t xml:space="preserve"> (Consejo de Titulares), la Junta de Titulares del Golf Villas </w:t>
      </w:r>
      <w:proofErr w:type="spellStart"/>
      <w:r w:rsidRPr="00A54622">
        <w:rPr>
          <w:rStyle w:val="normaltextrun"/>
          <w:rFonts w:ascii="Bookman Old Style" w:hAnsi="Bookman Old Style"/>
          <w:shd w:val="clear" w:color="auto" w:fill="FFFFFF"/>
          <w:lang w:val="es-MX"/>
        </w:rPr>
        <w:t>Condominium</w:t>
      </w:r>
      <w:proofErr w:type="spellEnd"/>
      <w:r w:rsidRPr="00A54622">
        <w:rPr>
          <w:rStyle w:val="normaltextrun"/>
          <w:rFonts w:ascii="Bookman Old Style" w:hAnsi="Bookman Old Style"/>
          <w:shd w:val="clear" w:color="auto" w:fill="FFFFFF"/>
          <w:lang w:val="es-MX"/>
        </w:rPr>
        <w:t xml:space="preserve"> </w:t>
      </w:r>
      <w:r w:rsidR="002A0598" w:rsidRPr="00A54622">
        <w:rPr>
          <w:rStyle w:val="normaltextrun"/>
          <w:rFonts w:ascii="Bookman Old Style" w:hAnsi="Bookman Old Style"/>
          <w:shd w:val="clear" w:color="auto" w:fill="FFFFFF"/>
          <w:lang w:val="es-MX"/>
        </w:rPr>
        <w:t xml:space="preserve">Council </w:t>
      </w:r>
      <w:r w:rsidRPr="00A54622">
        <w:rPr>
          <w:rStyle w:val="normaltextrun"/>
          <w:rFonts w:ascii="Bookman Old Style" w:hAnsi="Bookman Old Style"/>
          <w:shd w:val="clear" w:color="auto" w:fill="FFFFFF"/>
          <w:lang w:val="es-MX"/>
        </w:rPr>
        <w:t xml:space="preserve">of </w:t>
      </w:r>
      <w:proofErr w:type="spellStart"/>
      <w:r w:rsidRPr="00A54622">
        <w:rPr>
          <w:rStyle w:val="normaltextrun"/>
          <w:rFonts w:ascii="Bookman Old Style" w:hAnsi="Bookman Old Style"/>
          <w:shd w:val="clear" w:color="auto" w:fill="FFFFFF"/>
          <w:lang w:val="es-MX"/>
        </w:rPr>
        <w:t>Owners</w:t>
      </w:r>
      <w:proofErr w:type="spellEnd"/>
      <w:r w:rsidRPr="00A54622">
        <w:rPr>
          <w:rStyle w:val="normaltextrun"/>
          <w:rFonts w:ascii="Bookman Old Style" w:hAnsi="Bookman Old Style"/>
          <w:shd w:val="clear" w:color="auto" w:fill="FFFFFF"/>
          <w:lang w:val="es-MX"/>
        </w:rPr>
        <w:t xml:space="preserve"> (Junta de Titulares) y la Compañía de Seguros A, B y C.</w:t>
      </w:r>
      <w:r w:rsidR="002A0598" w:rsidRPr="00A54622">
        <w:rPr>
          <w:rStyle w:val="FootnoteReference"/>
          <w:rFonts w:ascii="Bookman Old Style" w:hAnsi="Bookman Old Style"/>
          <w:shd w:val="clear" w:color="auto" w:fill="FFFFFF"/>
          <w:lang w:val="es-MX"/>
        </w:rPr>
        <w:footnoteReference w:id="1"/>
      </w:r>
      <w:r w:rsidRPr="00A54622">
        <w:rPr>
          <w:rStyle w:val="normaltextrun"/>
          <w:rFonts w:ascii="Bookman Old Style" w:hAnsi="Bookman Old Style"/>
          <w:shd w:val="clear" w:color="auto" w:fill="FFFFFF"/>
          <w:lang w:val="es-MX"/>
        </w:rPr>
        <w:t xml:space="preserve"> En el referido escrito, alegó que fue contratado por el Consejo de Titulares y</w:t>
      </w:r>
      <w:r w:rsidR="005006F0" w:rsidRPr="00A54622">
        <w:rPr>
          <w:rStyle w:val="normaltextrun"/>
          <w:rFonts w:ascii="Bookman Old Style" w:hAnsi="Bookman Old Style"/>
          <w:shd w:val="clear" w:color="auto" w:fill="FFFFFF"/>
          <w:lang w:val="es-MX"/>
        </w:rPr>
        <w:t xml:space="preserve"> por la</w:t>
      </w:r>
      <w:r w:rsidRPr="00A54622">
        <w:rPr>
          <w:rStyle w:val="normaltextrun"/>
          <w:rFonts w:ascii="Bookman Old Style" w:hAnsi="Bookman Old Style"/>
          <w:shd w:val="clear" w:color="auto" w:fill="FFFFFF"/>
          <w:lang w:val="es-MX"/>
        </w:rPr>
        <w:t xml:space="preserve"> Junta de Titulares </w:t>
      </w:r>
      <w:r w:rsidR="005006F0" w:rsidRPr="00A54622">
        <w:rPr>
          <w:rStyle w:val="normaltextrun"/>
          <w:rFonts w:ascii="Bookman Old Style" w:hAnsi="Bookman Old Style"/>
          <w:shd w:val="clear" w:color="auto" w:fill="FFFFFF"/>
          <w:lang w:val="es-MX"/>
        </w:rPr>
        <w:t xml:space="preserve">del Condominio Caribe Golf </w:t>
      </w:r>
      <w:r w:rsidRPr="00A54622">
        <w:rPr>
          <w:rStyle w:val="normaltextrun"/>
          <w:rFonts w:ascii="Bookman Old Style" w:hAnsi="Bookman Old Style"/>
          <w:shd w:val="clear" w:color="auto" w:fill="FFFFFF"/>
          <w:lang w:val="es-MX"/>
        </w:rPr>
        <w:t xml:space="preserve">en el año 2008. Arguyó que en el año 2015 su contrato fue enmendado para incluir </w:t>
      </w:r>
      <w:r w:rsidR="002A0598" w:rsidRPr="00A54622">
        <w:rPr>
          <w:rStyle w:val="normaltextrun"/>
          <w:rFonts w:ascii="Bookman Old Style" w:hAnsi="Bookman Old Style"/>
          <w:shd w:val="clear" w:color="auto" w:fill="FFFFFF"/>
          <w:lang w:val="es-MX"/>
        </w:rPr>
        <w:t xml:space="preserve">algunas </w:t>
      </w:r>
      <w:r w:rsidRPr="00A54622">
        <w:rPr>
          <w:rStyle w:val="normaltextrun"/>
          <w:rFonts w:ascii="Bookman Old Style" w:hAnsi="Bookman Old Style"/>
          <w:shd w:val="clear" w:color="auto" w:fill="FFFFFF"/>
          <w:lang w:val="es-MX"/>
        </w:rPr>
        <w:t>funciones de administra</w:t>
      </w:r>
      <w:r w:rsidR="002A0598" w:rsidRPr="00A54622">
        <w:rPr>
          <w:rStyle w:val="normaltextrun"/>
          <w:rFonts w:ascii="Bookman Old Style" w:hAnsi="Bookman Old Style"/>
          <w:shd w:val="clear" w:color="auto" w:fill="FFFFFF"/>
          <w:lang w:val="es-MX"/>
        </w:rPr>
        <w:t>ción</w:t>
      </w:r>
      <w:r w:rsidRPr="00A54622">
        <w:rPr>
          <w:rStyle w:val="normaltextrun"/>
          <w:rFonts w:ascii="Bookman Old Style" w:hAnsi="Bookman Old Style"/>
          <w:shd w:val="clear" w:color="auto" w:fill="FFFFFF"/>
          <w:lang w:val="es-MX"/>
        </w:rPr>
        <w:t>. Expresó que</w:t>
      </w:r>
      <w:r w:rsidR="005006F0" w:rsidRPr="00A54622">
        <w:rPr>
          <w:rStyle w:val="normaltextrun"/>
          <w:rFonts w:ascii="Bookman Old Style" w:hAnsi="Bookman Old Style"/>
          <w:shd w:val="clear" w:color="auto" w:fill="FFFFFF"/>
          <w:lang w:val="es-MX"/>
        </w:rPr>
        <w:t>,</w:t>
      </w:r>
      <w:r w:rsidRPr="00A54622">
        <w:rPr>
          <w:rStyle w:val="normaltextrun"/>
          <w:rFonts w:ascii="Bookman Old Style" w:hAnsi="Bookman Old Style"/>
          <w:shd w:val="clear" w:color="auto" w:fill="FFFFFF"/>
          <w:lang w:val="es-MX"/>
        </w:rPr>
        <w:t xml:space="preserve"> durante el tiempo que fungió como administrador</w:t>
      </w:r>
      <w:r w:rsidR="005006F0" w:rsidRPr="00A54622">
        <w:rPr>
          <w:rStyle w:val="normaltextrun"/>
          <w:rFonts w:ascii="Bookman Old Style" w:hAnsi="Bookman Old Style"/>
          <w:shd w:val="clear" w:color="auto" w:fill="FFFFFF"/>
          <w:lang w:val="es-MX"/>
        </w:rPr>
        <w:t xml:space="preserve">, </w:t>
      </w:r>
      <w:r w:rsidRPr="00A54622">
        <w:rPr>
          <w:rStyle w:val="normaltextrun"/>
          <w:rFonts w:ascii="Bookman Old Style" w:hAnsi="Bookman Old Style"/>
          <w:shd w:val="clear" w:color="auto" w:fill="FFFFFF"/>
          <w:lang w:val="es-MX"/>
        </w:rPr>
        <w:t>no fue objeto de quejas, amonestaciones, memos</w:t>
      </w:r>
      <w:r w:rsidR="005006F0" w:rsidRPr="00A54622">
        <w:rPr>
          <w:rStyle w:val="normaltextrun"/>
          <w:rFonts w:ascii="Bookman Old Style" w:hAnsi="Bookman Old Style"/>
          <w:shd w:val="clear" w:color="auto" w:fill="FFFFFF"/>
          <w:lang w:val="es-MX"/>
        </w:rPr>
        <w:t xml:space="preserve"> ni</w:t>
      </w:r>
      <w:r w:rsidRPr="00A54622">
        <w:rPr>
          <w:rStyle w:val="normaltextrun"/>
          <w:rFonts w:ascii="Bookman Old Style" w:hAnsi="Bookman Old Style"/>
          <w:shd w:val="clear" w:color="auto" w:fill="FFFFFF"/>
          <w:lang w:val="es-MX"/>
        </w:rPr>
        <w:t xml:space="preserve"> ningún tipo de evaluación. No obstante, adujo que el 2 de agosto de 2021 fue despedido por la Junta de Titulares</w:t>
      </w:r>
      <w:r w:rsidR="005006F0" w:rsidRPr="00A54622">
        <w:rPr>
          <w:rStyle w:val="normaltextrun"/>
          <w:rFonts w:ascii="Bookman Old Style" w:hAnsi="Bookman Old Style"/>
          <w:shd w:val="clear" w:color="auto" w:fill="FFFFFF"/>
          <w:lang w:val="es-MX"/>
        </w:rPr>
        <w:t xml:space="preserve"> </w:t>
      </w:r>
      <w:r w:rsidRPr="00A54622">
        <w:rPr>
          <w:rStyle w:val="normaltextrun"/>
          <w:rFonts w:ascii="Bookman Old Style" w:hAnsi="Bookman Old Style"/>
          <w:shd w:val="clear" w:color="auto" w:fill="FFFFFF"/>
          <w:lang w:val="es-MX"/>
        </w:rPr>
        <w:t>sin que mediara justa causa. Arguyó que, la terminación unilateral realizada por la Junta de Titulares</w:t>
      </w:r>
      <w:r w:rsidR="005006F0" w:rsidRPr="00A54622">
        <w:rPr>
          <w:rStyle w:val="normaltextrun"/>
          <w:rFonts w:ascii="Bookman Old Style" w:hAnsi="Bookman Old Style"/>
          <w:shd w:val="clear" w:color="auto" w:fill="FFFFFF"/>
          <w:lang w:val="es-MX"/>
        </w:rPr>
        <w:t xml:space="preserve"> </w:t>
      </w:r>
      <w:r w:rsidRPr="00A54622">
        <w:rPr>
          <w:rStyle w:val="normaltextrun"/>
          <w:rFonts w:ascii="Bookman Old Style" w:hAnsi="Bookman Old Style"/>
          <w:shd w:val="clear" w:color="auto" w:fill="FFFFFF"/>
          <w:lang w:val="es-MX"/>
        </w:rPr>
        <w:t>no fue ratificada en</w:t>
      </w:r>
      <w:r w:rsidR="005006F0" w:rsidRPr="00A54622">
        <w:rPr>
          <w:rStyle w:val="normaltextrun"/>
          <w:rFonts w:ascii="Bookman Old Style" w:hAnsi="Bookman Old Style"/>
          <w:shd w:val="clear" w:color="auto" w:fill="FFFFFF"/>
          <w:lang w:val="es-MX"/>
        </w:rPr>
        <w:t xml:space="preserve"> una</w:t>
      </w:r>
      <w:r w:rsidRPr="00A54622">
        <w:rPr>
          <w:rStyle w:val="normaltextrun"/>
          <w:rFonts w:ascii="Bookman Old Style" w:hAnsi="Bookman Old Style"/>
          <w:shd w:val="clear" w:color="auto" w:fill="FFFFFF"/>
          <w:lang w:val="es-MX"/>
        </w:rPr>
        <w:t xml:space="preserve"> Asamblea de Titulares y </w:t>
      </w:r>
      <w:r w:rsidR="005006F0" w:rsidRPr="00A54622">
        <w:rPr>
          <w:rStyle w:val="normaltextrun"/>
          <w:rFonts w:ascii="Bookman Old Style" w:hAnsi="Bookman Old Style"/>
          <w:shd w:val="clear" w:color="auto" w:fill="FFFFFF"/>
          <w:lang w:val="es-MX"/>
        </w:rPr>
        <w:t xml:space="preserve">que </w:t>
      </w:r>
      <w:r w:rsidRPr="00A54622">
        <w:rPr>
          <w:rStyle w:val="normaltextrun"/>
          <w:rFonts w:ascii="Bookman Old Style" w:hAnsi="Bookman Old Style"/>
          <w:shd w:val="clear" w:color="auto" w:fill="FFFFFF"/>
          <w:lang w:val="es-MX"/>
        </w:rPr>
        <w:t>no se notificó</w:t>
      </w:r>
      <w:r w:rsidR="005006F0" w:rsidRPr="00A54622">
        <w:rPr>
          <w:rStyle w:val="normaltextrun"/>
          <w:rFonts w:ascii="Bookman Old Style" w:hAnsi="Bookman Old Style"/>
          <w:shd w:val="clear" w:color="auto" w:fill="FFFFFF"/>
          <w:lang w:val="es-MX"/>
        </w:rPr>
        <w:t xml:space="preserve"> </w:t>
      </w:r>
      <w:r w:rsidRPr="00A54622">
        <w:rPr>
          <w:rStyle w:val="normaltextrun"/>
          <w:rFonts w:ascii="Bookman Old Style" w:hAnsi="Bookman Old Style"/>
          <w:shd w:val="clear" w:color="auto" w:fill="FFFFFF"/>
          <w:lang w:val="es-MX"/>
        </w:rPr>
        <w:t>acta alguna</w:t>
      </w:r>
      <w:r w:rsidR="002A0598" w:rsidRPr="00A54622">
        <w:rPr>
          <w:rStyle w:val="normaltextrun"/>
          <w:rFonts w:ascii="Bookman Old Style" w:hAnsi="Bookman Old Style"/>
          <w:shd w:val="clear" w:color="auto" w:fill="FFFFFF"/>
          <w:lang w:val="es-MX"/>
        </w:rPr>
        <w:t>,</w:t>
      </w:r>
      <w:r w:rsidRPr="00A54622">
        <w:rPr>
          <w:rStyle w:val="normaltextrun"/>
          <w:rFonts w:ascii="Bookman Old Style" w:hAnsi="Bookman Old Style"/>
          <w:shd w:val="clear" w:color="auto" w:fill="FFFFFF"/>
          <w:lang w:val="es-MX"/>
        </w:rPr>
        <w:t xml:space="preserve"> como lo requiere la Ley Núm. 129 de 2020, mejor conocida </w:t>
      </w:r>
      <w:r w:rsidR="00A54622" w:rsidRPr="00A54622">
        <w:rPr>
          <w:rStyle w:val="normaltextrun"/>
          <w:rFonts w:ascii="Bookman Old Style" w:hAnsi="Bookman Old Style"/>
          <w:shd w:val="clear" w:color="auto" w:fill="FFFFFF"/>
          <w:lang w:val="es-MX"/>
        </w:rPr>
        <w:t xml:space="preserve">como </w:t>
      </w:r>
      <w:r w:rsidRPr="00A54622">
        <w:rPr>
          <w:rStyle w:val="normaltextrun"/>
          <w:rFonts w:ascii="Bookman Old Style" w:hAnsi="Bookman Old Style"/>
          <w:shd w:val="clear" w:color="auto" w:fill="FFFFFF"/>
          <w:lang w:val="es-MX"/>
        </w:rPr>
        <w:t xml:space="preserve">la </w:t>
      </w:r>
      <w:r w:rsidRPr="00A54622">
        <w:rPr>
          <w:rStyle w:val="normaltextrun"/>
          <w:rFonts w:ascii="Bookman Old Style" w:hAnsi="Bookman Old Style"/>
          <w:i/>
          <w:iCs/>
          <w:shd w:val="clear" w:color="auto" w:fill="FFFFFF"/>
          <w:lang w:val="es-MX"/>
        </w:rPr>
        <w:t>Ley de Condominios de Puerto Rico</w:t>
      </w:r>
      <w:r w:rsidRPr="00A54622">
        <w:rPr>
          <w:rStyle w:val="normaltextrun"/>
          <w:rFonts w:ascii="Bookman Old Style" w:hAnsi="Bookman Old Style"/>
          <w:shd w:val="clear" w:color="auto" w:fill="FFFFFF"/>
          <w:lang w:val="es-MX"/>
        </w:rPr>
        <w:t xml:space="preserve">, </w:t>
      </w:r>
      <w:r w:rsidRPr="00A54622">
        <w:rPr>
          <w:rStyle w:val="normaltextrun"/>
          <w:rFonts w:ascii="Bookman Old Style" w:hAnsi="Bookman Old Style"/>
          <w:shd w:val="clear" w:color="auto" w:fill="FFFFFF"/>
        </w:rPr>
        <w:t>31 LPRA sec. 1921</w:t>
      </w:r>
      <w:r w:rsidR="005006F0" w:rsidRPr="00A54622">
        <w:rPr>
          <w:rStyle w:val="normaltextrun"/>
          <w:rFonts w:ascii="Bookman Old Style" w:hAnsi="Bookman Old Style"/>
          <w:shd w:val="clear" w:color="auto" w:fill="FFFFFF"/>
        </w:rPr>
        <w:t xml:space="preserve"> </w:t>
      </w:r>
      <w:r w:rsidR="005006F0" w:rsidRPr="00A54622">
        <w:rPr>
          <w:rStyle w:val="normaltextrun"/>
          <w:rFonts w:ascii="Bookman Old Style" w:hAnsi="Bookman Old Style"/>
          <w:i/>
          <w:iCs/>
          <w:shd w:val="clear" w:color="auto" w:fill="FFFFFF"/>
        </w:rPr>
        <w:t xml:space="preserve">et </w:t>
      </w:r>
      <w:proofErr w:type="spellStart"/>
      <w:r w:rsidR="005006F0" w:rsidRPr="00A54622">
        <w:rPr>
          <w:rStyle w:val="normaltextrun"/>
          <w:rFonts w:ascii="Bookman Old Style" w:hAnsi="Bookman Old Style"/>
          <w:i/>
          <w:iCs/>
          <w:shd w:val="clear" w:color="auto" w:fill="FFFFFF"/>
        </w:rPr>
        <w:t>seq</w:t>
      </w:r>
      <w:proofErr w:type="spellEnd"/>
      <w:r w:rsidR="005006F0" w:rsidRPr="00A54622">
        <w:rPr>
          <w:rStyle w:val="normaltextrun"/>
          <w:rFonts w:ascii="Bookman Old Style" w:hAnsi="Bookman Old Style"/>
          <w:shd w:val="clear" w:color="auto" w:fill="FFFFFF"/>
        </w:rPr>
        <w:t>.</w:t>
      </w:r>
      <w:r w:rsidRPr="00A54622">
        <w:rPr>
          <w:rStyle w:val="normaltextrun"/>
          <w:rFonts w:ascii="Bookman Old Style" w:hAnsi="Bookman Old Style"/>
          <w:shd w:val="clear" w:color="auto" w:fill="FFFFFF"/>
        </w:rPr>
        <w:t xml:space="preserve"> </w:t>
      </w:r>
      <w:r w:rsidRPr="00A54622">
        <w:rPr>
          <w:rStyle w:val="normaltextrun"/>
          <w:rFonts w:ascii="Bookman Old Style" w:hAnsi="Bookman Old Style"/>
          <w:shd w:val="clear" w:color="auto" w:fill="FFFFFF"/>
          <w:lang w:val="es-MX"/>
        </w:rPr>
        <w:t>Por lo cual</w:t>
      </w:r>
      <w:r w:rsidRPr="00A54622">
        <w:rPr>
          <w:rStyle w:val="normaltextrun"/>
          <w:rFonts w:ascii="Bookman Old Style" w:hAnsi="Bookman Old Style"/>
          <w:shd w:val="clear" w:color="auto" w:fill="FFFFFF"/>
        </w:rPr>
        <w:t>, le solicitó al foro primario el resarcimiento en concepto de daños y lucro cesante.  </w:t>
      </w:r>
      <w:r w:rsidRPr="00A54622">
        <w:rPr>
          <w:rStyle w:val="eop"/>
          <w:rFonts w:ascii="Bookman Old Style" w:hAnsi="Bookman Old Style"/>
          <w:shd w:val="clear" w:color="auto" w:fill="FFFFFF"/>
        </w:rPr>
        <w:t> </w:t>
      </w:r>
    </w:p>
    <w:p w14:paraId="441E1A12" w14:textId="3B099F13" w:rsidR="00B33553" w:rsidRPr="00A54622" w:rsidRDefault="00B33553" w:rsidP="00CA3EF0">
      <w:pPr>
        <w:spacing w:line="480" w:lineRule="auto"/>
        <w:contextualSpacing/>
        <w:jc w:val="both"/>
        <w:rPr>
          <w:rFonts w:ascii="Bookman Old Style" w:hAnsi="Bookman Old Style" w:cs="Arial"/>
          <w:lang w:val="es-MX"/>
        </w:rPr>
      </w:pPr>
      <w:r w:rsidRPr="00A54622">
        <w:rPr>
          <w:rFonts w:ascii="Bookman Old Style" w:hAnsi="Bookman Old Style" w:cs="Arial"/>
        </w:rPr>
        <w:tab/>
      </w:r>
      <w:r w:rsidR="00A87762" w:rsidRPr="00A54622">
        <w:rPr>
          <w:rFonts w:ascii="Bookman Old Style" w:hAnsi="Bookman Old Style" w:cs="Arial"/>
        </w:rPr>
        <w:t xml:space="preserve">Por su parte, el Consejo de Titulares y la Junta de Titulares </w:t>
      </w:r>
      <w:r w:rsidR="00A87762" w:rsidRPr="00A54622">
        <w:rPr>
          <w:rFonts w:ascii="Bookman Old Style" w:hAnsi="Bookman Old Style" w:cs="Arial"/>
          <w:lang w:val="es-MX"/>
        </w:rPr>
        <w:t xml:space="preserve">presentaron </w:t>
      </w:r>
      <w:r w:rsidR="004F0C2A" w:rsidRPr="00A54622">
        <w:rPr>
          <w:rFonts w:ascii="Bookman Old Style" w:hAnsi="Bookman Old Style" w:cs="Arial"/>
          <w:lang w:val="es-MX"/>
        </w:rPr>
        <w:t xml:space="preserve">una </w:t>
      </w:r>
      <w:r w:rsidR="004F0C2A" w:rsidRPr="00A54622">
        <w:rPr>
          <w:rFonts w:ascii="Bookman Old Style" w:hAnsi="Bookman Old Style" w:cs="Arial"/>
          <w:i/>
          <w:iCs/>
          <w:lang w:val="es-MX"/>
        </w:rPr>
        <w:t>Contestación a Demanda</w:t>
      </w:r>
      <w:r w:rsidR="004F0C2A" w:rsidRPr="00A54622">
        <w:rPr>
          <w:rFonts w:ascii="Bookman Old Style" w:hAnsi="Bookman Old Style"/>
        </w:rPr>
        <w:t xml:space="preserve"> </w:t>
      </w:r>
      <w:r w:rsidR="009C472B" w:rsidRPr="00A54622">
        <w:rPr>
          <w:rFonts w:ascii="Bookman Old Style" w:hAnsi="Bookman Old Style"/>
        </w:rPr>
        <w:t xml:space="preserve">el </w:t>
      </w:r>
      <w:r w:rsidR="002E336E" w:rsidRPr="00A54622">
        <w:rPr>
          <w:rFonts w:ascii="Bookman Old Style" w:hAnsi="Bookman Old Style"/>
        </w:rPr>
        <w:t>19 de septiembre de 2022.</w:t>
      </w:r>
      <w:r w:rsidR="002E336E" w:rsidRPr="00A54622">
        <w:rPr>
          <w:rStyle w:val="FootnoteReference"/>
          <w:rFonts w:ascii="Bookman Old Style" w:hAnsi="Bookman Old Style"/>
        </w:rPr>
        <w:footnoteReference w:id="2"/>
      </w:r>
      <w:r w:rsidR="002E336E" w:rsidRPr="00A54622">
        <w:rPr>
          <w:rFonts w:ascii="Bookman Old Style" w:hAnsi="Bookman Old Style"/>
        </w:rPr>
        <w:t xml:space="preserve"> </w:t>
      </w:r>
      <w:r w:rsidR="00767422" w:rsidRPr="00A54622">
        <w:rPr>
          <w:rFonts w:ascii="Bookman Old Style" w:hAnsi="Bookman Old Style"/>
        </w:rPr>
        <w:t xml:space="preserve">En el aludido escrito, </w:t>
      </w:r>
      <w:r w:rsidR="00E9303B" w:rsidRPr="00A54622">
        <w:rPr>
          <w:rFonts w:ascii="Bookman Old Style" w:hAnsi="Bookman Old Style"/>
        </w:rPr>
        <w:t>realizaron sus alegaciones responsivas y establecieron varias defensas afirmativas. E</w:t>
      </w:r>
      <w:r w:rsidR="00DF6CE0" w:rsidRPr="00A54622">
        <w:rPr>
          <w:rFonts w:ascii="Bookman Old Style" w:hAnsi="Bookman Old Style"/>
        </w:rPr>
        <w:t>n específico, alegaron que la figura del agente administrador en un condominio</w:t>
      </w:r>
      <w:r w:rsidR="0074318B" w:rsidRPr="00A54622">
        <w:rPr>
          <w:rFonts w:ascii="Bookman Old Style" w:hAnsi="Bookman Old Style"/>
        </w:rPr>
        <w:t>,</w:t>
      </w:r>
      <w:r w:rsidR="00DF6CE0" w:rsidRPr="00A54622">
        <w:rPr>
          <w:rFonts w:ascii="Bookman Old Style" w:hAnsi="Bookman Old Style"/>
        </w:rPr>
        <w:t xml:space="preserve"> sometido al régimen de propiedad horizonta</w:t>
      </w:r>
      <w:r w:rsidR="00E85261" w:rsidRPr="00A54622">
        <w:rPr>
          <w:rFonts w:ascii="Bookman Old Style" w:hAnsi="Bookman Old Style"/>
        </w:rPr>
        <w:t>l</w:t>
      </w:r>
      <w:r w:rsidR="0074318B" w:rsidRPr="00A54622">
        <w:rPr>
          <w:rFonts w:ascii="Bookman Old Style" w:hAnsi="Bookman Old Style"/>
        </w:rPr>
        <w:t>,</w:t>
      </w:r>
      <w:r w:rsidR="00E85261" w:rsidRPr="00A54622">
        <w:rPr>
          <w:rFonts w:ascii="Bookman Old Style" w:hAnsi="Bookman Old Style"/>
        </w:rPr>
        <w:t xml:space="preserve"> es una de mandat</w:t>
      </w:r>
      <w:r w:rsidR="0074318B" w:rsidRPr="00A54622">
        <w:rPr>
          <w:rFonts w:ascii="Bookman Old Style" w:hAnsi="Bookman Old Style"/>
        </w:rPr>
        <w:t>o</w:t>
      </w:r>
      <w:r w:rsidR="00E85261" w:rsidRPr="00A54622">
        <w:rPr>
          <w:rFonts w:ascii="Bookman Old Style" w:hAnsi="Bookman Old Style"/>
        </w:rPr>
        <w:t xml:space="preserve"> y su contrato puede ser cancelado en cualquier momento sin necesidad de una </w:t>
      </w:r>
      <w:r w:rsidR="00B41E8E" w:rsidRPr="00A54622">
        <w:rPr>
          <w:rFonts w:ascii="Bookman Old Style" w:hAnsi="Bookman Old Style"/>
        </w:rPr>
        <w:t xml:space="preserve">causa justificada. </w:t>
      </w:r>
      <w:r w:rsidR="00910A42" w:rsidRPr="00A54622">
        <w:rPr>
          <w:rFonts w:ascii="Bookman Old Style" w:hAnsi="Bookman Old Style"/>
        </w:rPr>
        <w:t xml:space="preserve">Arguyeron del mismo modo, que </w:t>
      </w:r>
      <w:r w:rsidR="0025303D" w:rsidRPr="00A54622">
        <w:rPr>
          <w:rFonts w:ascii="Bookman Old Style" w:hAnsi="Bookman Old Style" w:cs="Arial"/>
          <w:lang w:val="es-MX"/>
        </w:rPr>
        <w:t xml:space="preserve">Mateo Rivera </w:t>
      </w:r>
      <w:r w:rsidR="00F8347D" w:rsidRPr="00A54622">
        <w:rPr>
          <w:rFonts w:ascii="Bookman Old Style" w:hAnsi="Bookman Old Style" w:cs="Arial"/>
          <w:lang w:val="es-MX"/>
        </w:rPr>
        <w:t>no era empleado del Consejo</w:t>
      </w:r>
      <w:r w:rsidR="00B83A0B" w:rsidRPr="00A54622">
        <w:rPr>
          <w:rFonts w:ascii="Bookman Old Style" w:hAnsi="Bookman Old Style" w:cs="Arial"/>
          <w:lang w:val="es-MX"/>
        </w:rPr>
        <w:t xml:space="preserve"> de Titulares</w:t>
      </w:r>
      <w:r w:rsidR="001A67DD" w:rsidRPr="00A54622">
        <w:rPr>
          <w:rFonts w:ascii="Bookman Old Style" w:hAnsi="Bookman Old Style" w:cs="Arial"/>
          <w:lang w:val="es-MX"/>
        </w:rPr>
        <w:t xml:space="preserve">. </w:t>
      </w:r>
      <w:r w:rsidR="00A752C7" w:rsidRPr="00A54622">
        <w:rPr>
          <w:rFonts w:ascii="Bookman Old Style" w:hAnsi="Bookman Old Style" w:cs="Arial"/>
          <w:lang w:val="es-MX"/>
        </w:rPr>
        <w:t>Adujeron</w:t>
      </w:r>
      <w:r w:rsidR="00535815" w:rsidRPr="00A54622">
        <w:rPr>
          <w:rFonts w:ascii="Bookman Old Style" w:hAnsi="Bookman Old Style" w:cs="Arial"/>
          <w:lang w:val="es-MX"/>
        </w:rPr>
        <w:t>, además,</w:t>
      </w:r>
      <w:r w:rsidR="00A752C7" w:rsidRPr="00A54622">
        <w:rPr>
          <w:rFonts w:ascii="Bookman Old Style" w:hAnsi="Bookman Old Style" w:cs="Arial"/>
          <w:lang w:val="es-MX"/>
        </w:rPr>
        <w:t xml:space="preserve"> que Mateo </w:t>
      </w:r>
      <w:r w:rsidR="00A4044B" w:rsidRPr="00A54622">
        <w:rPr>
          <w:rFonts w:ascii="Bookman Old Style" w:hAnsi="Bookman Old Style" w:cs="Arial"/>
          <w:lang w:val="es-MX"/>
        </w:rPr>
        <w:t>Rivera no</w:t>
      </w:r>
      <w:r w:rsidR="00A752C7" w:rsidRPr="00A54622">
        <w:rPr>
          <w:rFonts w:ascii="Bookman Old Style" w:hAnsi="Bookman Old Style" w:cs="Arial"/>
          <w:lang w:val="es-MX"/>
        </w:rPr>
        <w:t xml:space="preserve"> poseía legitimación activa </w:t>
      </w:r>
      <w:r w:rsidR="00A4044B" w:rsidRPr="00A54622">
        <w:rPr>
          <w:rFonts w:ascii="Bookman Old Style" w:hAnsi="Bookman Old Style" w:cs="Arial"/>
          <w:lang w:val="es-MX"/>
        </w:rPr>
        <w:t xml:space="preserve">para cuestionar procedimientos internos del condominio como lo es </w:t>
      </w:r>
      <w:r w:rsidR="00B83A0B" w:rsidRPr="00A54622">
        <w:rPr>
          <w:rFonts w:ascii="Bookman Old Style" w:hAnsi="Bookman Old Style" w:cs="Arial"/>
          <w:lang w:val="es-MX"/>
        </w:rPr>
        <w:t>l</w:t>
      </w:r>
      <w:r w:rsidR="00A4044B" w:rsidRPr="00A54622">
        <w:rPr>
          <w:rFonts w:ascii="Bookman Old Style" w:hAnsi="Bookman Old Style" w:cs="Arial"/>
          <w:lang w:val="es-MX"/>
        </w:rPr>
        <w:t xml:space="preserve">a notificación de un acta. Por último, alegaron que </w:t>
      </w:r>
      <w:r w:rsidR="00A51F3E" w:rsidRPr="00A54622">
        <w:rPr>
          <w:rFonts w:ascii="Bookman Old Style" w:hAnsi="Bookman Old Style" w:cs="Arial"/>
          <w:lang w:val="es-MX"/>
        </w:rPr>
        <w:t xml:space="preserve">el Consejo de Titulares aprobó la contratación de un nuevo agente administrador por lo que </w:t>
      </w:r>
      <w:r w:rsidR="005715ED" w:rsidRPr="00A54622">
        <w:rPr>
          <w:rFonts w:ascii="Bookman Old Style" w:hAnsi="Bookman Old Style" w:cs="Arial"/>
          <w:lang w:val="es-MX"/>
        </w:rPr>
        <w:t>se termin</w:t>
      </w:r>
      <w:r w:rsidR="00535815" w:rsidRPr="00A54622">
        <w:rPr>
          <w:rFonts w:ascii="Bookman Old Style" w:hAnsi="Bookman Old Style" w:cs="Arial"/>
          <w:lang w:val="es-MX"/>
        </w:rPr>
        <w:t>ó</w:t>
      </w:r>
      <w:r w:rsidR="005715ED" w:rsidRPr="00A54622">
        <w:rPr>
          <w:rFonts w:ascii="Bookman Old Style" w:hAnsi="Bookman Old Style" w:cs="Arial"/>
          <w:lang w:val="es-MX"/>
        </w:rPr>
        <w:t xml:space="preserve"> el contrato de agente administrador de Mateo Rivera. </w:t>
      </w:r>
    </w:p>
    <w:p w14:paraId="37E9314F" w14:textId="173035C3" w:rsidR="00DB54D5" w:rsidRPr="00A54622" w:rsidRDefault="00DB54D5" w:rsidP="00CA3EF0">
      <w:pPr>
        <w:spacing w:line="480" w:lineRule="auto"/>
        <w:contextualSpacing/>
        <w:jc w:val="both"/>
        <w:rPr>
          <w:rFonts w:ascii="Bookman Old Style" w:hAnsi="Bookman Old Style" w:cs="Arial"/>
          <w:lang w:val="es-MX"/>
        </w:rPr>
      </w:pPr>
      <w:r w:rsidRPr="00A54622">
        <w:rPr>
          <w:rFonts w:ascii="Bookman Old Style" w:hAnsi="Bookman Old Style" w:cs="Arial"/>
          <w:lang w:val="es-MX"/>
        </w:rPr>
        <w:tab/>
      </w:r>
      <w:r w:rsidR="000B1455" w:rsidRPr="00A54622">
        <w:rPr>
          <w:rFonts w:ascii="Bookman Old Style" w:hAnsi="Bookman Old Style" w:cs="Arial"/>
          <w:lang w:val="es-MX"/>
        </w:rPr>
        <w:t xml:space="preserve">El </w:t>
      </w:r>
      <w:r w:rsidR="004A03C1" w:rsidRPr="00A54622">
        <w:rPr>
          <w:rFonts w:ascii="Bookman Old Style" w:hAnsi="Bookman Old Style" w:cs="Arial"/>
          <w:lang w:val="es-MX"/>
        </w:rPr>
        <w:t xml:space="preserve">12 de enero de 2023 Mateo Rivera </w:t>
      </w:r>
      <w:r w:rsidR="006B23D6" w:rsidRPr="00A54622">
        <w:rPr>
          <w:rFonts w:ascii="Bookman Old Style" w:hAnsi="Bookman Old Style" w:cs="Arial"/>
          <w:lang w:val="es-MX"/>
        </w:rPr>
        <w:t xml:space="preserve">sometió una </w:t>
      </w:r>
      <w:r w:rsidR="006B23D6" w:rsidRPr="00A54622">
        <w:rPr>
          <w:rFonts w:ascii="Bookman Old Style" w:hAnsi="Bookman Old Style" w:cs="Arial"/>
          <w:i/>
          <w:iCs/>
          <w:lang w:val="es-MX"/>
        </w:rPr>
        <w:t>Urgente Solicitud de A</w:t>
      </w:r>
      <w:r w:rsidR="002C34D6" w:rsidRPr="00A54622">
        <w:rPr>
          <w:rFonts w:ascii="Bookman Old Style" w:hAnsi="Bookman Old Style" w:cs="Arial"/>
          <w:i/>
          <w:iCs/>
          <w:lang w:val="es-MX"/>
        </w:rPr>
        <w:t>u</w:t>
      </w:r>
      <w:r w:rsidR="006B23D6" w:rsidRPr="00A54622">
        <w:rPr>
          <w:rFonts w:ascii="Bookman Old Style" w:hAnsi="Bookman Old Style" w:cs="Arial"/>
          <w:i/>
          <w:iCs/>
          <w:lang w:val="es-MX"/>
        </w:rPr>
        <w:t>torización</w:t>
      </w:r>
      <w:r w:rsidR="002C34D6" w:rsidRPr="00A54622">
        <w:rPr>
          <w:rFonts w:ascii="Bookman Old Style" w:hAnsi="Bookman Old Style" w:cs="Arial"/>
          <w:i/>
          <w:iCs/>
          <w:lang w:val="es-MX"/>
        </w:rPr>
        <w:t xml:space="preserve"> para Enmendar la Demanda</w:t>
      </w:r>
      <w:r w:rsidR="002C34D6" w:rsidRPr="00A54622">
        <w:rPr>
          <w:rFonts w:ascii="Bookman Old Style" w:hAnsi="Bookman Old Style" w:cs="Arial"/>
          <w:lang w:val="es-MX"/>
        </w:rPr>
        <w:t>.</w:t>
      </w:r>
      <w:r w:rsidR="002C34D6" w:rsidRPr="00A54622">
        <w:rPr>
          <w:rStyle w:val="FootnoteReference"/>
          <w:rFonts w:ascii="Bookman Old Style" w:hAnsi="Bookman Old Style" w:cs="Arial"/>
          <w:lang w:val="es-MX"/>
        </w:rPr>
        <w:footnoteReference w:id="3"/>
      </w:r>
      <w:r w:rsidR="006B23D6" w:rsidRPr="00A54622">
        <w:rPr>
          <w:rFonts w:ascii="Bookman Old Style" w:hAnsi="Bookman Old Style" w:cs="Arial"/>
          <w:i/>
          <w:iCs/>
          <w:lang w:val="es-MX"/>
        </w:rPr>
        <w:t xml:space="preserve"> </w:t>
      </w:r>
      <w:r w:rsidR="00837353" w:rsidRPr="00A54622">
        <w:rPr>
          <w:rFonts w:ascii="Bookman Old Style" w:hAnsi="Bookman Old Style" w:cs="Arial"/>
          <w:lang w:val="es-MX"/>
        </w:rPr>
        <w:t xml:space="preserve">En síntesis, arguyó que </w:t>
      </w:r>
      <w:r w:rsidR="00607288" w:rsidRPr="00A54622">
        <w:rPr>
          <w:rFonts w:ascii="Bookman Old Style" w:hAnsi="Bookman Old Style" w:cs="Arial"/>
          <w:lang w:val="es-MX"/>
        </w:rPr>
        <w:t>la enmienda a las alegaciones estaba encaminada a corregir la terminología</w:t>
      </w:r>
      <w:r w:rsidR="00C7581E" w:rsidRPr="00A54622">
        <w:rPr>
          <w:rFonts w:ascii="Bookman Old Style" w:hAnsi="Bookman Old Style" w:cs="Arial"/>
          <w:lang w:val="es-MX"/>
        </w:rPr>
        <w:t xml:space="preserve"> de la relación entre las partes, </w:t>
      </w:r>
      <w:r w:rsidR="00B83A0B" w:rsidRPr="00A54622">
        <w:rPr>
          <w:rFonts w:ascii="Bookman Old Style" w:hAnsi="Bookman Old Style" w:cs="Arial"/>
          <w:lang w:val="es-MX"/>
        </w:rPr>
        <w:t>para que quedara claro que</w:t>
      </w:r>
      <w:r w:rsidR="00C7581E" w:rsidRPr="00A54622">
        <w:rPr>
          <w:rFonts w:ascii="Bookman Old Style" w:hAnsi="Bookman Old Style" w:cs="Arial"/>
          <w:lang w:val="es-MX"/>
        </w:rPr>
        <w:t xml:space="preserve"> no se </w:t>
      </w:r>
      <w:r w:rsidR="00497B2B" w:rsidRPr="00A54622">
        <w:rPr>
          <w:rFonts w:ascii="Bookman Old Style" w:hAnsi="Bookman Old Style" w:cs="Arial"/>
          <w:lang w:val="es-MX"/>
        </w:rPr>
        <w:t>trataba</w:t>
      </w:r>
      <w:r w:rsidR="00C7581E" w:rsidRPr="00A54622">
        <w:rPr>
          <w:rFonts w:ascii="Bookman Old Style" w:hAnsi="Bookman Old Style" w:cs="Arial"/>
          <w:lang w:val="es-MX"/>
        </w:rPr>
        <w:t xml:space="preserve"> de un despido</w:t>
      </w:r>
      <w:r w:rsidR="00291BA3" w:rsidRPr="00A54622">
        <w:rPr>
          <w:rFonts w:ascii="Bookman Old Style" w:hAnsi="Bookman Old Style" w:cs="Arial"/>
          <w:lang w:val="es-MX"/>
        </w:rPr>
        <w:t xml:space="preserve"> injustificado</w:t>
      </w:r>
      <w:r w:rsidR="00C7581E" w:rsidRPr="00A54622">
        <w:rPr>
          <w:rFonts w:ascii="Bookman Old Style" w:hAnsi="Bookman Old Style" w:cs="Arial"/>
          <w:lang w:val="es-MX"/>
        </w:rPr>
        <w:t xml:space="preserve">, </w:t>
      </w:r>
      <w:r w:rsidR="00EE6EF0" w:rsidRPr="00A54622">
        <w:rPr>
          <w:rFonts w:ascii="Bookman Old Style" w:hAnsi="Bookman Old Style" w:cs="Arial"/>
          <w:lang w:val="es-MX"/>
        </w:rPr>
        <w:t>sino de</w:t>
      </w:r>
      <w:r w:rsidR="00937B7A" w:rsidRPr="00A54622">
        <w:rPr>
          <w:rFonts w:ascii="Bookman Old Style" w:hAnsi="Bookman Old Style" w:cs="Arial"/>
          <w:lang w:val="es-MX"/>
        </w:rPr>
        <w:t xml:space="preserve"> un incumplimiento de contrato. </w:t>
      </w:r>
    </w:p>
    <w:p w14:paraId="09F4C3F1" w14:textId="4626C5DA" w:rsidR="00523D97" w:rsidRPr="00A54622" w:rsidRDefault="00D40997" w:rsidP="00CA3EF0">
      <w:pPr>
        <w:spacing w:line="480" w:lineRule="auto"/>
        <w:contextualSpacing/>
        <w:jc w:val="both"/>
        <w:rPr>
          <w:rFonts w:ascii="Bookman Old Style" w:hAnsi="Bookman Old Style" w:cs="Arial"/>
          <w:lang w:val="es-MX"/>
        </w:rPr>
      </w:pPr>
      <w:r w:rsidRPr="00A54622">
        <w:rPr>
          <w:rFonts w:ascii="Bookman Old Style" w:hAnsi="Bookman Old Style" w:cs="Arial"/>
          <w:lang w:val="es-MX"/>
        </w:rPr>
        <w:tab/>
      </w:r>
      <w:r w:rsidR="005334D9" w:rsidRPr="00A54622">
        <w:rPr>
          <w:rFonts w:ascii="Bookman Old Style" w:hAnsi="Bookman Old Style" w:cs="Arial"/>
          <w:lang w:val="es-MX"/>
        </w:rPr>
        <w:t>Luego, el</w:t>
      </w:r>
      <w:r w:rsidR="00FC5529" w:rsidRPr="00A54622">
        <w:rPr>
          <w:rFonts w:ascii="Bookman Old Style" w:hAnsi="Bookman Old Style" w:cs="Arial"/>
          <w:lang w:val="es-MX"/>
        </w:rPr>
        <w:t xml:space="preserve"> Tribunal de Primera Instancia emitió </w:t>
      </w:r>
      <w:r w:rsidR="001A1A67" w:rsidRPr="00A54622">
        <w:rPr>
          <w:rFonts w:ascii="Bookman Old Style" w:hAnsi="Bookman Old Style" w:cs="Arial"/>
          <w:lang w:val="es-MX"/>
        </w:rPr>
        <w:t xml:space="preserve">una </w:t>
      </w:r>
      <w:r w:rsidR="001A1A67" w:rsidRPr="00A54622">
        <w:rPr>
          <w:rFonts w:ascii="Bookman Old Style" w:hAnsi="Bookman Old Style" w:cs="Arial"/>
          <w:i/>
          <w:iCs/>
          <w:lang w:val="es-MX"/>
        </w:rPr>
        <w:t xml:space="preserve">Orden </w:t>
      </w:r>
      <w:r w:rsidR="001A1A67" w:rsidRPr="00A54622">
        <w:rPr>
          <w:rFonts w:ascii="Bookman Old Style" w:hAnsi="Bookman Old Style" w:cs="Arial"/>
          <w:lang w:val="es-MX"/>
        </w:rPr>
        <w:t>el 13 de</w:t>
      </w:r>
      <w:r w:rsidR="00523D97" w:rsidRPr="00A54622">
        <w:rPr>
          <w:rFonts w:ascii="Bookman Old Style" w:hAnsi="Bookman Old Style" w:cs="Arial"/>
          <w:lang w:val="es-MX"/>
        </w:rPr>
        <w:t xml:space="preserve"> </w:t>
      </w:r>
      <w:r w:rsidR="001A1A67" w:rsidRPr="00A54622">
        <w:rPr>
          <w:rFonts w:ascii="Bookman Old Style" w:hAnsi="Bookman Old Style" w:cs="Arial"/>
          <w:lang w:val="es-MX"/>
        </w:rPr>
        <w:t>enero de 2023</w:t>
      </w:r>
      <w:r w:rsidR="00D34475" w:rsidRPr="00A54622">
        <w:rPr>
          <w:rFonts w:ascii="Bookman Old Style" w:hAnsi="Bookman Old Style" w:cs="Arial"/>
          <w:lang w:val="es-MX"/>
        </w:rPr>
        <w:t xml:space="preserve"> autorizando la enmienda de la </w:t>
      </w:r>
      <w:r w:rsidR="006E4D45" w:rsidRPr="00A54622">
        <w:rPr>
          <w:rFonts w:ascii="Bookman Old Style" w:hAnsi="Bookman Old Style" w:cs="Arial"/>
          <w:i/>
          <w:iCs/>
          <w:lang w:val="es-MX"/>
        </w:rPr>
        <w:t>Demanda</w:t>
      </w:r>
      <w:r w:rsidR="00D34475" w:rsidRPr="00A54622">
        <w:rPr>
          <w:rFonts w:ascii="Bookman Old Style" w:hAnsi="Bookman Old Style" w:cs="Arial"/>
          <w:lang w:val="es-MX"/>
        </w:rPr>
        <w:t>.</w:t>
      </w:r>
      <w:r w:rsidR="006633BE" w:rsidRPr="00A54622">
        <w:rPr>
          <w:rStyle w:val="FootnoteReference"/>
          <w:rFonts w:ascii="Bookman Old Style" w:hAnsi="Bookman Old Style" w:cs="Arial"/>
          <w:lang w:val="es-MX"/>
        </w:rPr>
        <w:footnoteReference w:id="4"/>
      </w:r>
      <w:r w:rsidR="00597FEE" w:rsidRPr="00A54622">
        <w:rPr>
          <w:rFonts w:ascii="Bookman Old Style" w:hAnsi="Bookman Old Style" w:cs="Arial"/>
          <w:lang w:val="es-MX"/>
        </w:rPr>
        <w:t xml:space="preserve"> </w:t>
      </w:r>
      <w:r w:rsidR="00E02F6B" w:rsidRPr="00A54622">
        <w:rPr>
          <w:rFonts w:ascii="Bookman Old Style" w:hAnsi="Bookman Old Style" w:cs="Arial"/>
          <w:lang w:val="es-MX"/>
        </w:rPr>
        <w:t>Por lo cual</w:t>
      </w:r>
      <w:r w:rsidR="00C70574" w:rsidRPr="00A54622">
        <w:rPr>
          <w:rFonts w:ascii="Bookman Old Style" w:hAnsi="Bookman Old Style" w:cs="Arial"/>
          <w:lang w:val="es-MX"/>
        </w:rPr>
        <w:t>,</w:t>
      </w:r>
      <w:r w:rsidR="00E02F6B" w:rsidRPr="00A54622">
        <w:rPr>
          <w:rFonts w:ascii="Bookman Old Style" w:hAnsi="Bookman Old Style" w:cs="Arial"/>
          <w:lang w:val="es-MX"/>
        </w:rPr>
        <w:t xml:space="preserve"> el 1</w:t>
      </w:r>
      <w:r w:rsidR="008A16C6" w:rsidRPr="00A54622">
        <w:rPr>
          <w:rFonts w:ascii="Bookman Old Style" w:hAnsi="Bookman Old Style" w:cs="Arial"/>
          <w:lang w:val="es-MX"/>
        </w:rPr>
        <w:t>2</w:t>
      </w:r>
      <w:r w:rsidR="00E3774C" w:rsidRPr="00A54622">
        <w:rPr>
          <w:rFonts w:ascii="Bookman Old Style" w:hAnsi="Bookman Old Style" w:cs="Arial"/>
          <w:lang w:val="es-MX"/>
        </w:rPr>
        <w:t xml:space="preserve"> de enero de 2023 Mateo </w:t>
      </w:r>
      <w:r w:rsidR="00316CA1" w:rsidRPr="00A54622">
        <w:rPr>
          <w:rFonts w:ascii="Bookman Old Style" w:hAnsi="Bookman Old Style" w:cs="Arial"/>
          <w:lang w:val="es-MX"/>
        </w:rPr>
        <w:t>Rivera</w:t>
      </w:r>
      <w:r w:rsidR="00C70574" w:rsidRPr="00A54622">
        <w:rPr>
          <w:rFonts w:ascii="Bookman Old Style" w:hAnsi="Bookman Old Style" w:cs="Arial"/>
          <w:lang w:val="es-MX"/>
        </w:rPr>
        <w:t xml:space="preserve"> presentó su </w:t>
      </w:r>
      <w:r w:rsidR="00DF4A19" w:rsidRPr="00A54622">
        <w:rPr>
          <w:rFonts w:ascii="Bookman Old Style" w:hAnsi="Bookman Old Style" w:cs="Arial"/>
          <w:i/>
          <w:iCs/>
          <w:lang w:val="es-MX"/>
        </w:rPr>
        <w:t>Demanda Enmendada</w:t>
      </w:r>
      <w:r w:rsidR="00C70574" w:rsidRPr="00A54622">
        <w:rPr>
          <w:rFonts w:ascii="Bookman Old Style" w:hAnsi="Bookman Old Style" w:cs="Arial"/>
          <w:lang w:val="es-MX"/>
        </w:rPr>
        <w:t>.</w:t>
      </w:r>
      <w:r w:rsidR="00DF4A19" w:rsidRPr="00A54622">
        <w:rPr>
          <w:rStyle w:val="FootnoteReference"/>
          <w:rFonts w:ascii="Bookman Old Style" w:hAnsi="Bookman Old Style" w:cs="Arial"/>
          <w:lang w:val="es-MX"/>
        </w:rPr>
        <w:footnoteReference w:id="5"/>
      </w:r>
      <w:r w:rsidR="00C70574" w:rsidRPr="00A54622">
        <w:rPr>
          <w:rFonts w:ascii="Bookman Old Style" w:hAnsi="Bookman Old Style" w:cs="Arial"/>
          <w:lang w:val="es-MX"/>
        </w:rPr>
        <w:t xml:space="preserve"> </w:t>
      </w:r>
      <w:r w:rsidR="00DB26AC" w:rsidRPr="00A54622">
        <w:rPr>
          <w:rFonts w:ascii="Bookman Old Style" w:hAnsi="Bookman Old Style" w:cs="Arial"/>
          <w:lang w:val="es-MX"/>
        </w:rPr>
        <w:t xml:space="preserve">En esencia, </w:t>
      </w:r>
      <w:r w:rsidR="00D14F8B" w:rsidRPr="00A54622">
        <w:rPr>
          <w:rFonts w:ascii="Bookman Old Style" w:hAnsi="Bookman Old Style" w:cs="Arial"/>
          <w:lang w:val="es-MX"/>
        </w:rPr>
        <w:t xml:space="preserve">enmendó </w:t>
      </w:r>
      <w:r w:rsidR="00ED4D13" w:rsidRPr="00A54622">
        <w:rPr>
          <w:rFonts w:ascii="Bookman Old Style" w:hAnsi="Bookman Old Style" w:cs="Arial"/>
          <w:lang w:val="es-MX"/>
        </w:rPr>
        <w:t xml:space="preserve">las </w:t>
      </w:r>
      <w:r w:rsidR="00652F7B" w:rsidRPr="00A54622">
        <w:rPr>
          <w:rFonts w:ascii="Bookman Old Style" w:hAnsi="Bookman Old Style" w:cs="Arial"/>
          <w:lang w:val="es-MX"/>
        </w:rPr>
        <w:t xml:space="preserve">alegaciones </w:t>
      </w:r>
      <w:r w:rsidR="008A1123" w:rsidRPr="00A54622">
        <w:rPr>
          <w:rFonts w:ascii="Bookman Old Style" w:hAnsi="Bookman Old Style" w:cs="Arial"/>
          <w:lang w:val="es-MX"/>
        </w:rPr>
        <w:t xml:space="preserve">para </w:t>
      </w:r>
      <w:r w:rsidR="00A53DEB" w:rsidRPr="00A54622">
        <w:rPr>
          <w:rFonts w:ascii="Bookman Old Style" w:hAnsi="Bookman Old Style" w:cs="Arial"/>
          <w:lang w:val="es-MX"/>
        </w:rPr>
        <w:t xml:space="preserve">aclarar </w:t>
      </w:r>
      <w:r w:rsidR="00320045" w:rsidRPr="00A54622">
        <w:rPr>
          <w:rFonts w:ascii="Bookman Old Style" w:hAnsi="Bookman Old Style" w:cs="Arial"/>
          <w:lang w:val="es-MX"/>
        </w:rPr>
        <w:t xml:space="preserve">su causa de acción. </w:t>
      </w:r>
    </w:p>
    <w:p w14:paraId="7245847C" w14:textId="6BE6810D" w:rsidR="0024520D" w:rsidRPr="00A54622" w:rsidRDefault="0024520D" w:rsidP="00CA3EF0">
      <w:pPr>
        <w:spacing w:line="480" w:lineRule="auto"/>
        <w:contextualSpacing/>
        <w:jc w:val="both"/>
        <w:rPr>
          <w:rFonts w:ascii="Bookman Old Style" w:hAnsi="Bookman Old Style" w:cs="Arial"/>
          <w:lang w:val="es-MX"/>
        </w:rPr>
      </w:pPr>
      <w:r w:rsidRPr="00A54622">
        <w:rPr>
          <w:rFonts w:ascii="Bookman Old Style" w:hAnsi="Bookman Old Style" w:cs="Arial"/>
          <w:lang w:val="es-MX"/>
        </w:rPr>
        <w:tab/>
        <w:t xml:space="preserve">En respuesta, </w:t>
      </w:r>
      <w:r w:rsidRPr="00A54622">
        <w:rPr>
          <w:rFonts w:ascii="Bookman Old Style" w:hAnsi="Bookman Old Style" w:cs="Arial"/>
        </w:rPr>
        <w:t xml:space="preserve">el </w:t>
      </w:r>
      <w:r w:rsidR="009C530D" w:rsidRPr="00A54622">
        <w:rPr>
          <w:rFonts w:ascii="Bookman Old Style" w:hAnsi="Bookman Old Style" w:cs="Arial"/>
        </w:rPr>
        <w:t xml:space="preserve">9 de febrero de 2023 </w:t>
      </w:r>
      <w:bookmarkStart w:id="0" w:name="_Hlk197083595"/>
      <w:r w:rsidR="009C530D" w:rsidRPr="00A54622">
        <w:rPr>
          <w:rFonts w:ascii="Bookman Old Style" w:hAnsi="Bookman Old Style" w:cs="Arial"/>
        </w:rPr>
        <w:t xml:space="preserve">el </w:t>
      </w:r>
      <w:r w:rsidRPr="00A54622">
        <w:rPr>
          <w:rFonts w:ascii="Bookman Old Style" w:hAnsi="Bookman Old Style" w:cs="Arial"/>
        </w:rPr>
        <w:t xml:space="preserve">Consejo de Titulares y la Junta de Titulares </w:t>
      </w:r>
      <w:bookmarkEnd w:id="0"/>
      <w:r w:rsidRPr="00A54622">
        <w:rPr>
          <w:rFonts w:ascii="Bookman Old Style" w:hAnsi="Bookman Old Style" w:cs="Arial"/>
          <w:lang w:val="es-MX"/>
        </w:rPr>
        <w:t>presentaron</w:t>
      </w:r>
      <w:r w:rsidR="00E21B4D" w:rsidRPr="00A54622">
        <w:rPr>
          <w:rFonts w:ascii="Bookman Old Style" w:hAnsi="Bookman Old Style" w:cs="Arial"/>
          <w:lang w:val="es-MX"/>
        </w:rPr>
        <w:t xml:space="preserve"> </w:t>
      </w:r>
      <w:r w:rsidR="00E21B4D" w:rsidRPr="00A54622">
        <w:rPr>
          <w:rFonts w:ascii="Bookman Old Style" w:hAnsi="Bookman Old Style" w:cs="Arial"/>
          <w:i/>
          <w:iCs/>
          <w:lang w:val="es-MX"/>
        </w:rPr>
        <w:t>Contestación a Demanda Enmendada</w:t>
      </w:r>
      <w:r w:rsidR="00E21B4D" w:rsidRPr="00A54622">
        <w:rPr>
          <w:rFonts w:ascii="Bookman Old Style" w:hAnsi="Bookman Old Style" w:cs="Arial"/>
          <w:lang w:val="es-MX"/>
        </w:rPr>
        <w:t>.</w:t>
      </w:r>
      <w:r w:rsidR="00845771" w:rsidRPr="00A54622">
        <w:rPr>
          <w:rStyle w:val="FootnoteReference"/>
          <w:rFonts w:ascii="Bookman Old Style" w:hAnsi="Bookman Old Style" w:cs="Arial"/>
          <w:lang w:val="es-MX"/>
        </w:rPr>
        <w:footnoteReference w:id="6"/>
      </w:r>
      <w:r w:rsidR="009C530D" w:rsidRPr="00A54622">
        <w:rPr>
          <w:rFonts w:ascii="Bookman Old Style" w:hAnsi="Bookman Old Style" w:cs="Arial"/>
          <w:lang w:val="es-MX"/>
        </w:rPr>
        <w:t xml:space="preserve"> </w:t>
      </w:r>
    </w:p>
    <w:p w14:paraId="7D487E3B" w14:textId="7914BC68" w:rsidR="00D2617E" w:rsidRPr="00A54622" w:rsidRDefault="00557075" w:rsidP="00CA3EF0">
      <w:pPr>
        <w:spacing w:line="480" w:lineRule="auto"/>
        <w:contextualSpacing/>
        <w:jc w:val="both"/>
        <w:rPr>
          <w:rFonts w:ascii="Bookman Old Style" w:hAnsi="Bookman Old Style" w:cs="Arial"/>
        </w:rPr>
      </w:pPr>
      <w:r w:rsidRPr="00A54622">
        <w:rPr>
          <w:rFonts w:ascii="Bookman Old Style" w:hAnsi="Bookman Old Style" w:cs="Arial"/>
          <w:lang w:val="es-MX"/>
        </w:rPr>
        <w:tab/>
      </w:r>
      <w:r w:rsidR="008A4074" w:rsidRPr="00A54622">
        <w:rPr>
          <w:rFonts w:ascii="Bookman Old Style" w:hAnsi="Bookman Old Style" w:cs="Arial"/>
          <w:lang w:val="es-MX"/>
        </w:rPr>
        <w:t>Así las cosas,</w:t>
      </w:r>
      <w:r w:rsidRPr="00A54622">
        <w:rPr>
          <w:rFonts w:ascii="Bookman Old Style" w:hAnsi="Bookman Old Style" w:cs="Arial"/>
          <w:lang w:val="es-MX"/>
        </w:rPr>
        <w:t xml:space="preserve"> </w:t>
      </w:r>
      <w:bookmarkStart w:id="1" w:name="_Hlk197083784"/>
      <w:r w:rsidRPr="00A54622">
        <w:rPr>
          <w:rFonts w:ascii="Bookman Old Style" w:hAnsi="Bookman Old Style" w:cs="Arial"/>
        </w:rPr>
        <w:t xml:space="preserve">el Consejo de Titulares y la Junta de Titulares </w:t>
      </w:r>
      <w:bookmarkEnd w:id="1"/>
      <w:r w:rsidR="00BC2B64" w:rsidRPr="00A54622">
        <w:rPr>
          <w:rFonts w:ascii="Bookman Old Style" w:hAnsi="Bookman Old Style" w:cs="Arial"/>
          <w:lang w:val="es-MX"/>
        </w:rPr>
        <w:t xml:space="preserve">presentaron una </w:t>
      </w:r>
      <w:r w:rsidR="00BC2B64" w:rsidRPr="00A54622">
        <w:rPr>
          <w:rFonts w:ascii="Bookman Old Style" w:hAnsi="Bookman Old Style" w:cs="Arial"/>
          <w:i/>
          <w:iCs/>
          <w:lang w:val="es-MX"/>
        </w:rPr>
        <w:t xml:space="preserve">Solicitud de Sentencia Sumaria </w:t>
      </w:r>
      <w:r w:rsidRPr="00A54622">
        <w:rPr>
          <w:rFonts w:ascii="Bookman Old Style" w:hAnsi="Bookman Old Style" w:cs="Arial"/>
          <w:lang w:val="es-MX"/>
        </w:rPr>
        <w:t>el 28 de abril de 2023</w:t>
      </w:r>
      <w:r w:rsidR="00BC2B64" w:rsidRPr="00A54622">
        <w:rPr>
          <w:rFonts w:ascii="Bookman Old Style" w:hAnsi="Bookman Old Style" w:cs="Arial"/>
          <w:lang w:val="es-MX"/>
        </w:rPr>
        <w:t>.</w:t>
      </w:r>
      <w:r w:rsidR="00A46CB0" w:rsidRPr="00A54622">
        <w:rPr>
          <w:rStyle w:val="FootnoteReference"/>
          <w:rFonts w:ascii="Bookman Old Style" w:hAnsi="Bookman Old Style" w:cs="Arial"/>
          <w:lang w:val="es-MX"/>
        </w:rPr>
        <w:footnoteReference w:id="7"/>
      </w:r>
      <w:r w:rsidR="006F2DED" w:rsidRPr="00A54622">
        <w:rPr>
          <w:rFonts w:ascii="Bookman Old Style" w:hAnsi="Bookman Old Style" w:cs="Arial"/>
          <w:lang w:val="es-MX"/>
        </w:rPr>
        <w:t xml:space="preserve"> </w:t>
      </w:r>
      <w:r w:rsidR="0060118C" w:rsidRPr="00A54622">
        <w:rPr>
          <w:rFonts w:ascii="Bookman Old Style" w:hAnsi="Bookman Old Style" w:cs="Arial"/>
          <w:lang w:val="es-MX"/>
        </w:rPr>
        <w:t xml:space="preserve">No obstante, </w:t>
      </w:r>
      <w:r w:rsidR="00F52DAC" w:rsidRPr="00A54622">
        <w:rPr>
          <w:rFonts w:ascii="Bookman Old Style" w:hAnsi="Bookman Old Style" w:cs="Arial"/>
          <w:lang w:val="es-MX"/>
        </w:rPr>
        <w:t xml:space="preserve">Mateo Rivera </w:t>
      </w:r>
      <w:r w:rsidR="00211DB6" w:rsidRPr="00A54622">
        <w:rPr>
          <w:rFonts w:ascii="Bookman Old Style" w:hAnsi="Bookman Old Style" w:cs="Arial"/>
          <w:lang w:val="es-MX"/>
        </w:rPr>
        <w:t xml:space="preserve">presentó una </w:t>
      </w:r>
      <w:r w:rsidR="00F52DAC" w:rsidRPr="00A54622">
        <w:rPr>
          <w:rFonts w:ascii="Bookman Old Style" w:hAnsi="Bookman Old Style" w:cs="Arial"/>
          <w:i/>
          <w:iCs/>
          <w:lang w:val="es-MX"/>
        </w:rPr>
        <w:t xml:space="preserve">Urgente </w:t>
      </w:r>
      <w:r w:rsidR="00DD51A2" w:rsidRPr="00A54622">
        <w:rPr>
          <w:rFonts w:ascii="Bookman Old Style" w:hAnsi="Bookman Old Style" w:cs="Arial"/>
          <w:i/>
          <w:iCs/>
          <w:lang w:val="es-MX"/>
        </w:rPr>
        <w:t xml:space="preserve">Solicitud de Posposición a que se Considere la Sentencia Sumaria por Violación </w:t>
      </w:r>
      <w:r w:rsidR="008A16C6" w:rsidRPr="00A54622">
        <w:rPr>
          <w:rFonts w:ascii="Bookman Old Style" w:hAnsi="Bookman Old Style" w:cs="Arial"/>
          <w:i/>
          <w:iCs/>
          <w:lang w:val="es-MX"/>
        </w:rPr>
        <w:t xml:space="preserve">al </w:t>
      </w:r>
      <w:r w:rsidR="004C3929" w:rsidRPr="00A54622">
        <w:rPr>
          <w:rFonts w:ascii="Bookman Old Style" w:hAnsi="Bookman Old Style" w:cs="Arial"/>
          <w:i/>
          <w:iCs/>
          <w:lang w:val="es-MX"/>
        </w:rPr>
        <w:t>Descubrimiento de Prueba</w:t>
      </w:r>
      <w:r w:rsidR="00F52DAC" w:rsidRPr="00A54622">
        <w:rPr>
          <w:rFonts w:ascii="Bookman Old Style" w:hAnsi="Bookman Old Style" w:cs="Arial"/>
          <w:lang w:val="es-MX"/>
        </w:rPr>
        <w:t xml:space="preserve"> </w:t>
      </w:r>
      <w:r w:rsidR="00211DB6" w:rsidRPr="00A54622">
        <w:rPr>
          <w:rFonts w:ascii="Bookman Old Style" w:hAnsi="Bookman Old Style" w:cs="Arial"/>
          <w:lang w:val="es-MX"/>
        </w:rPr>
        <w:t xml:space="preserve">el </w:t>
      </w:r>
      <w:r w:rsidR="008B2C2D" w:rsidRPr="00A54622">
        <w:rPr>
          <w:rFonts w:ascii="Bookman Old Style" w:hAnsi="Bookman Old Style" w:cs="Arial"/>
          <w:lang w:val="es-MX"/>
        </w:rPr>
        <w:t>1 de marzo de 2023</w:t>
      </w:r>
      <w:r w:rsidR="0087284C" w:rsidRPr="00A54622">
        <w:rPr>
          <w:rFonts w:ascii="Bookman Old Style" w:hAnsi="Bookman Old Style" w:cs="Arial"/>
          <w:lang w:val="es-MX"/>
        </w:rPr>
        <w:t>.</w:t>
      </w:r>
      <w:r w:rsidR="0087284C" w:rsidRPr="00A54622">
        <w:rPr>
          <w:rStyle w:val="FootnoteReference"/>
          <w:rFonts w:ascii="Bookman Old Style" w:hAnsi="Bookman Old Style" w:cs="Arial"/>
          <w:lang w:val="es-MX"/>
        </w:rPr>
        <w:footnoteReference w:id="8"/>
      </w:r>
      <w:r w:rsidR="008B2C2D" w:rsidRPr="00A54622">
        <w:rPr>
          <w:rFonts w:ascii="Bookman Old Style" w:hAnsi="Bookman Old Style" w:cs="Arial"/>
          <w:lang w:val="es-MX"/>
        </w:rPr>
        <w:t xml:space="preserve"> </w:t>
      </w:r>
      <w:r w:rsidR="0087284C" w:rsidRPr="00A54622">
        <w:rPr>
          <w:rFonts w:ascii="Bookman Old Style" w:hAnsi="Bookman Old Style" w:cs="Arial"/>
          <w:lang w:val="es-MX"/>
        </w:rPr>
        <w:t>E</w:t>
      </w:r>
      <w:r w:rsidR="008B2C2D" w:rsidRPr="00A54622">
        <w:rPr>
          <w:rFonts w:ascii="Bookman Old Style" w:hAnsi="Bookman Old Style" w:cs="Arial"/>
          <w:lang w:val="es-MX"/>
        </w:rPr>
        <w:t xml:space="preserve">n la </w:t>
      </w:r>
      <w:r w:rsidR="0087284C" w:rsidRPr="00A54622">
        <w:rPr>
          <w:rFonts w:ascii="Bookman Old Style" w:hAnsi="Bookman Old Style" w:cs="Arial"/>
          <w:lang w:val="es-MX"/>
        </w:rPr>
        <w:t xml:space="preserve">referida </w:t>
      </w:r>
      <w:r w:rsidR="00441166" w:rsidRPr="00A54622">
        <w:rPr>
          <w:rFonts w:ascii="Bookman Old Style" w:hAnsi="Bookman Old Style" w:cs="Arial"/>
          <w:lang w:val="es-MX"/>
        </w:rPr>
        <w:t xml:space="preserve">solicitud, </w:t>
      </w:r>
      <w:r w:rsidR="00DD64B1" w:rsidRPr="00A54622">
        <w:rPr>
          <w:rFonts w:ascii="Bookman Old Style" w:hAnsi="Bookman Old Style" w:cs="Arial"/>
          <w:lang w:val="es-MX"/>
        </w:rPr>
        <w:t>se opuso</w:t>
      </w:r>
      <w:r w:rsidR="0087284C" w:rsidRPr="00A54622">
        <w:rPr>
          <w:rFonts w:ascii="Bookman Old Style" w:hAnsi="Bookman Old Style" w:cs="Arial"/>
          <w:lang w:val="es-MX"/>
        </w:rPr>
        <w:t xml:space="preserve"> a la </w:t>
      </w:r>
      <w:r w:rsidR="00441166" w:rsidRPr="00A54622">
        <w:rPr>
          <w:rFonts w:ascii="Bookman Old Style" w:hAnsi="Bookman Old Style" w:cs="Arial"/>
          <w:lang w:val="es-MX"/>
        </w:rPr>
        <w:t>moción</w:t>
      </w:r>
      <w:r w:rsidR="0087284C" w:rsidRPr="00A54622">
        <w:rPr>
          <w:rFonts w:ascii="Bookman Old Style" w:hAnsi="Bookman Old Style" w:cs="Arial"/>
          <w:lang w:val="es-MX"/>
        </w:rPr>
        <w:t xml:space="preserve"> dispositiva presentada por </w:t>
      </w:r>
      <w:r w:rsidR="0087284C" w:rsidRPr="00A54622">
        <w:rPr>
          <w:rFonts w:ascii="Bookman Old Style" w:hAnsi="Bookman Old Style" w:cs="Arial"/>
        </w:rPr>
        <w:t>el Consejo de Titulares y la Junta de Titulares</w:t>
      </w:r>
      <w:r w:rsidR="00441166" w:rsidRPr="00A54622">
        <w:rPr>
          <w:rFonts w:ascii="Bookman Old Style" w:hAnsi="Bookman Old Style" w:cs="Arial"/>
        </w:rPr>
        <w:t xml:space="preserve"> por</w:t>
      </w:r>
      <w:r w:rsidR="00803AB2" w:rsidRPr="00A54622">
        <w:rPr>
          <w:rFonts w:ascii="Bookman Old Style" w:hAnsi="Bookman Old Style" w:cs="Arial"/>
        </w:rPr>
        <w:t xml:space="preserve"> la necesidad de completar el descubrimiento de prueba</w:t>
      </w:r>
      <w:r w:rsidR="00001A38" w:rsidRPr="00A54622">
        <w:rPr>
          <w:rFonts w:ascii="Bookman Old Style" w:hAnsi="Bookman Old Style" w:cs="Arial"/>
        </w:rPr>
        <w:t xml:space="preserve">. </w:t>
      </w:r>
    </w:p>
    <w:p w14:paraId="15DF1F24" w14:textId="2E8D28DA" w:rsidR="00A9411A" w:rsidRPr="00A54622" w:rsidRDefault="00D2617E" w:rsidP="00CA3EF0">
      <w:pPr>
        <w:spacing w:line="480" w:lineRule="auto"/>
        <w:contextualSpacing/>
        <w:jc w:val="both"/>
        <w:rPr>
          <w:rFonts w:ascii="Bookman Old Style" w:hAnsi="Bookman Old Style" w:cs="Arial"/>
          <w:lang w:val="es-MX"/>
        </w:rPr>
      </w:pPr>
      <w:r w:rsidRPr="00A54622">
        <w:rPr>
          <w:rFonts w:ascii="Bookman Old Style" w:hAnsi="Bookman Old Style" w:cs="Arial"/>
        </w:rPr>
        <w:tab/>
      </w:r>
      <w:r w:rsidR="00564CBD" w:rsidRPr="00A54622">
        <w:rPr>
          <w:rFonts w:ascii="Bookman Old Style" w:hAnsi="Bookman Old Style" w:cs="Arial"/>
        </w:rPr>
        <w:t xml:space="preserve">Luego, el </w:t>
      </w:r>
      <w:r w:rsidR="00BF7DBD" w:rsidRPr="00A54622">
        <w:rPr>
          <w:rFonts w:ascii="Bookman Old Style" w:hAnsi="Bookman Old Style" w:cs="Arial"/>
        </w:rPr>
        <w:t xml:space="preserve">16 de abril de 2024 Mateo Rivera </w:t>
      </w:r>
      <w:r w:rsidR="00567F13" w:rsidRPr="00A54622">
        <w:rPr>
          <w:rFonts w:ascii="Bookman Old Style" w:hAnsi="Bookman Old Style" w:cs="Arial"/>
        </w:rPr>
        <w:t xml:space="preserve">sometió </w:t>
      </w:r>
      <w:r w:rsidR="003D736B" w:rsidRPr="00A54622">
        <w:rPr>
          <w:rFonts w:ascii="Bookman Old Style" w:hAnsi="Bookman Old Style" w:cs="Arial"/>
        </w:rPr>
        <w:t xml:space="preserve">una </w:t>
      </w:r>
      <w:r w:rsidR="003D736B" w:rsidRPr="00A54622">
        <w:rPr>
          <w:rFonts w:ascii="Bookman Old Style" w:hAnsi="Bookman Old Style" w:cs="Arial"/>
          <w:i/>
          <w:iCs/>
        </w:rPr>
        <w:t>Urgente Solici</w:t>
      </w:r>
      <w:r w:rsidR="00BE00DF" w:rsidRPr="00A54622">
        <w:rPr>
          <w:rFonts w:ascii="Bookman Old Style" w:hAnsi="Bookman Old Style" w:cs="Arial"/>
          <w:i/>
          <w:iCs/>
        </w:rPr>
        <w:t>tud de Autorización para Enmendar Demanda &amp; Solicitud para la Paralización del Informe de Manejo</w:t>
      </w:r>
      <w:r w:rsidR="00AE2766" w:rsidRPr="00A54622">
        <w:rPr>
          <w:rFonts w:ascii="Bookman Old Style" w:hAnsi="Bookman Old Style" w:cs="Arial"/>
        </w:rPr>
        <w:t>.</w:t>
      </w:r>
      <w:r w:rsidR="00AE2766" w:rsidRPr="00A54622">
        <w:rPr>
          <w:rStyle w:val="FootnoteReference"/>
          <w:rFonts w:ascii="Bookman Old Style" w:hAnsi="Bookman Old Style" w:cs="Arial"/>
        </w:rPr>
        <w:footnoteReference w:id="9"/>
      </w:r>
      <w:r w:rsidR="00564CBD" w:rsidRPr="00A54622">
        <w:rPr>
          <w:rFonts w:ascii="Bookman Old Style" w:hAnsi="Bookman Old Style" w:cs="Arial"/>
        </w:rPr>
        <w:t xml:space="preserve"> </w:t>
      </w:r>
      <w:r w:rsidR="009B6D13" w:rsidRPr="00A54622">
        <w:rPr>
          <w:rFonts w:ascii="Bookman Old Style" w:hAnsi="Bookman Old Style" w:cs="Arial"/>
        </w:rPr>
        <w:t xml:space="preserve">En </w:t>
      </w:r>
      <w:r w:rsidR="00CB03EA" w:rsidRPr="00A54622">
        <w:rPr>
          <w:rFonts w:ascii="Bookman Old Style" w:hAnsi="Bookman Old Style" w:cs="Arial"/>
        </w:rPr>
        <w:t>esencia</w:t>
      </w:r>
      <w:r w:rsidR="009B6D13" w:rsidRPr="00A54622">
        <w:rPr>
          <w:rFonts w:ascii="Bookman Old Style" w:hAnsi="Bookman Old Style" w:cs="Arial"/>
        </w:rPr>
        <w:t>, adujo que</w:t>
      </w:r>
      <w:r w:rsidR="007F2BF2" w:rsidRPr="00A54622">
        <w:rPr>
          <w:rFonts w:ascii="Bookman Old Style" w:hAnsi="Bookman Old Style" w:cs="Arial"/>
        </w:rPr>
        <w:t>,</w:t>
      </w:r>
      <w:r w:rsidR="009B6D13" w:rsidRPr="00A54622">
        <w:rPr>
          <w:rFonts w:ascii="Bookman Old Style" w:hAnsi="Bookman Old Style" w:cs="Arial"/>
        </w:rPr>
        <w:t xml:space="preserve"> como parte del descubrimiento de prueba</w:t>
      </w:r>
      <w:r w:rsidR="00535815" w:rsidRPr="00A54622">
        <w:rPr>
          <w:rFonts w:ascii="Bookman Old Style" w:hAnsi="Bookman Old Style" w:cs="Arial"/>
        </w:rPr>
        <w:t>,</w:t>
      </w:r>
      <w:r w:rsidR="009B6D13" w:rsidRPr="00A54622">
        <w:rPr>
          <w:rFonts w:ascii="Bookman Old Style" w:hAnsi="Bookman Old Style" w:cs="Arial"/>
        </w:rPr>
        <w:t xml:space="preserve"> advino en conocimiento de</w:t>
      </w:r>
      <w:r w:rsidR="00BA7867" w:rsidRPr="00A54622">
        <w:rPr>
          <w:rFonts w:ascii="Bookman Old Style" w:hAnsi="Bookman Old Style" w:cs="Arial"/>
        </w:rPr>
        <w:t xml:space="preserve"> que la cancelación de su contrato como </w:t>
      </w:r>
      <w:r w:rsidR="00667515" w:rsidRPr="00A54622">
        <w:rPr>
          <w:rFonts w:ascii="Bookman Old Style" w:hAnsi="Bookman Old Style" w:cs="Arial"/>
          <w:lang w:val="es-MX"/>
        </w:rPr>
        <w:t xml:space="preserve">agente administrador fue mediante </w:t>
      </w:r>
      <w:r w:rsidR="00262F86" w:rsidRPr="00A54622">
        <w:rPr>
          <w:rFonts w:ascii="Bookman Old Style" w:hAnsi="Bookman Old Style" w:cs="Arial"/>
          <w:lang w:val="es-MX"/>
        </w:rPr>
        <w:t>un</w:t>
      </w:r>
      <w:r w:rsidR="00300CED" w:rsidRPr="00A54622">
        <w:rPr>
          <w:rFonts w:ascii="Bookman Old Style" w:hAnsi="Bookman Old Style" w:cs="Arial"/>
          <w:lang w:val="es-MX"/>
        </w:rPr>
        <w:t xml:space="preserve">a intervención torticera </w:t>
      </w:r>
      <w:r w:rsidR="00262F86" w:rsidRPr="00A54622">
        <w:rPr>
          <w:rFonts w:ascii="Bookman Old Style" w:hAnsi="Bookman Old Style" w:cs="Arial"/>
          <w:lang w:val="es-MX"/>
        </w:rPr>
        <w:t>contractual</w:t>
      </w:r>
      <w:r w:rsidR="00CB03EA" w:rsidRPr="00A54622">
        <w:rPr>
          <w:rFonts w:ascii="Bookman Old Style" w:hAnsi="Bookman Old Style" w:cs="Arial"/>
          <w:lang w:val="es-MX"/>
        </w:rPr>
        <w:t>, por</w:t>
      </w:r>
      <w:r w:rsidR="00912EAA" w:rsidRPr="00A54622">
        <w:rPr>
          <w:rFonts w:ascii="Bookman Old Style" w:hAnsi="Bookman Old Style" w:cs="Arial"/>
          <w:lang w:val="es-MX"/>
        </w:rPr>
        <w:t xml:space="preserve"> lo que</w:t>
      </w:r>
      <w:r w:rsidR="00535815" w:rsidRPr="00A54622">
        <w:rPr>
          <w:rFonts w:ascii="Bookman Old Style" w:hAnsi="Bookman Old Style" w:cs="Arial"/>
          <w:lang w:val="es-MX"/>
        </w:rPr>
        <w:t xml:space="preserve"> le</w:t>
      </w:r>
      <w:r w:rsidR="00912EAA" w:rsidRPr="00A54622">
        <w:rPr>
          <w:rFonts w:ascii="Bookman Old Style" w:hAnsi="Bookman Old Style" w:cs="Arial"/>
          <w:lang w:val="es-MX"/>
        </w:rPr>
        <w:t xml:space="preserve"> solicitó al Tribunal que permitiera la enmienda de la </w:t>
      </w:r>
      <w:r w:rsidR="00912EAA" w:rsidRPr="00A54622">
        <w:rPr>
          <w:rFonts w:ascii="Bookman Old Style" w:hAnsi="Bookman Old Style" w:cs="Arial"/>
          <w:i/>
          <w:iCs/>
          <w:lang w:val="es-MX"/>
        </w:rPr>
        <w:t xml:space="preserve">Demanda </w:t>
      </w:r>
      <w:r w:rsidR="00912EAA" w:rsidRPr="00A54622">
        <w:rPr>
          <w:rFonts w:ascii="Bookman Old Style" w:hAnsi="Bookman Old Style" w:cs="Arial"/>
          <w:lang w:val="es-MX"/>
        </w:rPr>
        <w:t xml:space="preserve">para traer a </w:t>
      </w:r>
      <w:r w:rsidR="00535815" w:rsidRPr="00A54622">
        <w:rPr>
          <w:rFonts w:ascii="Bookman Old Style" w:hAnsi="Bookman Old Style" w:cs="Arial"/>
          <w:lang w:val="es-MX"/>
        </w:rPr>
        <w:t>otras</w:t>
      </w:r>
      <w:r w:rsidR="00912EAA" w:rsidRPr="00A54622">
        <w:rPr>
          <w:rFonts w:ascii="Bookman Old Style" w:hAnsi="Bookman Old Style" w:cs="Arial"/>
          <w:lang w:val="es-MX"/>
        </w:rPr>
        <w:t xml:space="preserve"> personas al pleito</w:t>
      </w:r>
      <w:r w:rsidR="00300CED" w:rsidRPr="00A54622">
        <w:rPr>
          <w:rFonts w:ascii="Bookman Old Style" w:hAnsi="Bookman Old Style" w:cs="Arial"/>
          <w:lang w:val="es-MX"/>
        </w:rPr>
        <w:t>.</w:t>
      </w:r>
    </w:p>
    <w:p w14:paraId="2F78E02B" w14:textId="609C1EE3" w:rsidR="00557075" w:rsidRPr="00A54622" w:rsidRDefault="00A9411A" w:rsidP="00CA3EF0">
      <w:pPr>
        <w:spacing w:line="480" w:lineRule="auto"/>
        <w:contextualSpacing/>
        <w:jc w:val="both"/>
        <w:rPr>
          <w:rFonts w:ascii="Bookman Old Style" w:hAnsi="Bookman Old Style" w:cs="Arial"/>
          <w:lang w:val="es-MX"/>
        </w:rPr>
      </w:pPr>
      <w:r w:rsidRPr="00A54622">
        <w:rPr>
          <w:rFonts w:ascii="Bookman Old Style" w:hAnsi="Bookman Old Style" w:cs="Arial"/>
          <w:lang w:val="es-MX"/>
        </w:rPr>
        <w:tab/>
      </w:r>
      <w:r w:rsidR="000769F9" w:rsidRPr="00A54622">
        <w:rPr>
          <w:rFonts w:ascii="Bookman Old Style" w:hAnsi="Bookman Old Style" w:cs="Arial"/>
          <w:lang w:val="es-MX"/>
        </w:rPr>
        <w:t>Por su</w:t>
      </w:r>
      <w:r w:rsidRPr="00A54622">
        <w:rPr>
          <w:rFonts w:ascii="Bookman Old Style" w:hAnsi="Bookman Old Style" w:cs="Arial"/>
          <w:lang w:val="es-MX"/>
        </w:rPr>
        <w:t xml:space="preserve"> lado, </w:t>
      </w:r>
      <w:r w:rsidR="006C6F17" w:rsidRPr="00A54622">
        <w:rPr>
          <w:rFonts w:ascii="Bookman Old Style" w:hAnsi="Bookman Old Style" w:cs="Arial"/>
        </w:rPr>
        <w:t>el Consejo de Titulares y la Junta</w:t>
      </w:r>
      <w:r w:rsidR="00040037" w:rsidRPr="00A54622">
        <w:rPr>
          <w:rFonts w:ascii="Bookman Old Style" w:hAnsi="Bookman Old Style" w:cs="Arial"/>
        </w:rPr>
        <w:t xml:space="preserve"> de Titulares</w:t>
      </w:r>
      <w:r w:rsidR="006C6F17" w:rsidRPr="00A54622">
        <w:rPr>
          <w:rFonts w:ascii="Bookman Old Style" w:hAnsi="Bookman Old Style" w:cs="Arial"/>
        </w:rPr>
        <w:t xml:space="preserve"> </w:t>
      </w:r>
      <w:r w:rsidR="00262F86" w:rsidRPr="00A54622">
        <w:rPr>
          <w:rFonts w:ascii="Bookman Old Style" w:hAnsi="Bookman Old Style" w:cs="Arial"/>
        </w:rPr>
        <w:t>presentaron</w:t>
      </w:r>
      <w:r w:rsidR="00A9622A" w:rsidRPr="00A54622">
        <w:rPr>
          <w:rFonts w:ascii="Bookman Old Style" w:hAnsi="Bookman Old Style" w:cs="Arial"/>
          <w:lang w:val="es-MX"/>
        </w:rPr>
        <w:t xml:space="preserve"> </w:t>
      </w:r>
      <w:r w:rsidR="00A9622A" w:rsidRPr="00A54622">
        <w:rPr>
          <w:rFonts w:ascii="Bookman Old Style" w:hAnsi="Bookman Old Style" w:cs="Arial"/>
          <w:i/>
          <w:iCs/>
          <w:lang w:val="es-MX"/>
        </w:rPr>
        <w:t>Moción en Oposición a Moción de la Parte Demandante de Enmendar la Demanda y Paralización del Informe de Manejo</w:t>
      </w:r>
      <w:r w:rsidR="00262F86" w:rsidRPr="00A54622">
        <w:rPr>
          <w:rFonts w:ascii="Bookman Old Style" w:hAnsi="Bookman Old Style" w:cs="Arial"/>
          <w:i/>
          <w:iCs/>
          <w:lang w:val="es-MX"/>
        </w:rPr>
        <w:t xml:space="preserve"> </w:t>
      </w:r>
      <w:r w:rsidR="00262F86" w:rsidRPr="00A54622">
        <w:rPr>
          <w:rFonts w:ascii="Bookman Old Style" w:hAnsi="Bookman Old Style" w:cs="Arial"/>
          <w:lang w:val="es-MX"/>
        </w:rPr>
        <w:t>el 29 de abril de 2024</w:t>
      </w:r>
      <w:r w:rsidR="00A9622A" w:rsidRPr="00A54622">
        <w:rPr>
          <w:rFonts w:ascii="Bookman Old Style" w:hAnsi="Bookman Old Style" w:cs="Arial"/>
          <w:lang w:val="es-MX"/>
        </w:rPr>
        <w:t>.</w:t>
      </w:r>
      <w:r w:rsidR="006C6F17" w:rsidRPr="00A54622">
        <w:rPr>
          <w:rStyle w:val="FootnoteReference"/>
          <w:rFonts w:ascii="Bookman Old Style" w:hAnsi="Bookman Old Style" w:cs="Arial"/>
          <w:lang w:val="es-MX"/>
        </w:rPr>
        <w:footnoteReference w:id="10"/>
      </w:r>
      <w:r w:rsidR="001E373D" w:rsidRPr="00A54622">
        <w:rPr>
          <w:rFonts w:ascii="Bookman Old Style" w:hAnsi="Bookman Old Style" w:cs="Arial"/>
          <w:lang w:val="es-MX"/>
        </w:rPr>
        <w:t xml:space="preserve"> </w:t>
      </w:r>
    </w:p>
    <w:p w14:paraId="250E0D1A" w14:textId="14E6FA83" w:rsidR="00182D39" w:rsidRPr="00A54622" w:rsidRDefault="00182D39" w:rsidP="00CA3EF0">
      <w:pPr>
        <w:spacing w:line="480" w:lineRule="auto"/>
        <w:contextualSpacing/>
        <w:jc w:val="both"/>
        <w:rPr>
          <w:rFonts w:ascii="Bookman Old Style" w:hAnsi="Bookman Old Style" w:cs="Arial"/>
          <w:lang w:val="es-MX"/>
        </w:rPr>
      </w:pPr>
      <w:r w:rsidRPr="00A54622">
        <w:rPr>
          <w:rFonts w:ascii="Bookman Old Style" w:hAnsi="Bookman Old Style" w:cs="Arial"/>
          <w:lang w:val="es-MX"/>
        </w:rPr>
        <w:tab/>
      </w:r>
      <w:r w:rsidR="00535815" w:rsidRPr="00A54622">
        <w:rPr>
          <w:rFonts w:ascii="Bookman Old Style" w:hAnsi="Bookman Old Style" w:cs="Arial"/>
          <w:lang w:val="es-MX"/>
        </w:rPr>
        <w:t>Atendido lo anterior</w:t>
      </w:r>
      <w:r w:rsidR="00136623" w:rsidRPr="00A54622">
        <w:rPr>
          <w:rFonts w:ascii="Bookman Old Style" w:hAnsi="Bookman Old Style" w:cs="Arial"/>
          <w:lang w:val="es-MX"/>
        </w:rPr>
        <w:t>, el</w:t>
      </w:r>
      <w:r w:rsidR="007515B5" w:rsidRPr="00A54622">
        <w:rPr>
          <w:rFonts w:ascii="Bookman Old Style" w:hAnsi="Bookman Old Style" w:cs="Arial"/>
          <w:lang w:val="es-MX"/>
        </w:rPr>
        <w:t xml:space="preserve"> 6 de mayo de 2024 el foro de origen emitió una </w:t>
      </w:r>
      <w:r w:rsidR="007515B5" w:rsidRPr="00A54622">
        <w:rPr>
          <w:rFonts w:ascii="Bookman Old Style" w:hAnsi="Bookman Old Style" w:cs="Arial"/>
          <w:i/>
          <w:iCs/>
          <w:lang w:val="es-MX"/>
        </w:rPr>
        <w:t>Resolución</w:t>
      </w:r>
      <w:r w:rsidR="007515B5" w:rsidRPr="00A54622">
        <w:rPr>
          <w:rFonts w:ascii="Bookman Old Style" w:hAnsi="Bookman Old Style" w:cs="Arial"/>
          <w:lang w:val="es-MX"/>
        </w:rPr>
        <w:t xml:space="preserve"> </w:t>
      </w:r>
      <w:r w:rsidR="00AB2881" w:rsidRPr="00A54622">
        <w:rPr>
          <w:rFonts w:ascii="Bookman Old Style" w:hAnsi="Bookman Old Style" w:cs="Arial"/>
          <w:lang w:val="es-MX"/>
        </w:rPr>
        <w:t xml:space="preserve">declarando No Ha Lugar la solicitud de Mateo Rivera para enmendar nuevamente la </w:t>
      </w:r>
      <w:r w:rsidR="00AB2881" w:rsidRPr="00A54622">
        <w:rPr>
          <w:rFonts w:ascii="Bookman Old Style" w:hAnsi="Bookman Old Style" w:cs="Arial"/>
          <w:i/>
          <w:iCs/>
          <w:lang w:val="es-MX"/>
        </w:rPr>
        <w:t>Demanda</w:t>
      </w:r>
      <w:r w:rsidR="00AB2881" w:rsidRPr="00A54622">
        <w:rPr>
          <w:rFonts w:ascii="Bookman Old Style" w:hAnsi="Bookman Old Style" w:cs="Arial"/>
          <w:lang w:val="es-MX"/>
        </w:rPr>
        <w:t>.</w:t>
      </w:r>
      <w:r w:rsidR="00AD5E74" w:rsidRPr="00A54622">
        <w:rPr>
          <w:rStyle w:val="FootnoteReference"/>
          <w:rFonts w:ascii="Bookman Old Style" w:hAnsi="Bookman Old Style" w:cs="Arial"/>
          <w:lang w:val="es-MX"/>
        </w:rPr>
        <w:footnoteReference w:id="11"/>
      </w:r>
      <w:r w:rsidR="00BA3325" w:rsidRPr="00A54622">
        <w:rPr>
          <w:rFonts w:ascii="Bookman Old Style" w:hAnsi="Bookman Old Style" w:cs="Arial"/>
          <w:lang w:val="es-MX"/>
        </w:rPr>
        <w:t xml:space="preserve"> </w:t>
      </w:r>
    </w:p>
    <w:p w14:paraId="7B3125DD" w14:textId="4A0E01F5" w:rsidR="001B62D2" w:rsidRPr="00A54622" w:rsidRDefault="00535815" w:rsidP="001B62D2">
      <w:pPr>
        <w:spacing w:line="480" w:lineRule="auto"/>
        <w:ind w:firstLine="720"/>
        <w:contextualSpacing/>
        <w:jc w:val="both"/>
        <w:rPr>
          <w:rFonts w:ascii="Bookman Old Style" w:hAnsi="Bookman Old Style" w:cs="Arial"/>
          <w:lang w:val="es-MX"/>
        </w:rPr>
      </w:pPr>
      <w:r w:rsidRPr="00A54622">
        <w:rPr>
          <w:rStyle w:val="normaltextrun"/>
          <w:rFonts w:ascii="Bookman Old Style" w:hAnsi="Bookman Old Style"/>
          <w:shd w:val="clear" w:color="auto" w:fill="FFFFFF"/>
          <w:lang w:val="es-MX"/>
        </w:rPr>
        <w:t>As</w:t>
      </w:r>
      <w:r w:rsidRPr="00A54622">
        <w:rPr>
          <w:rStyle w:val="normaltextrun"/>
          <w:rFonts w:ascii="Bookman Old Style" w:hAnsi="Bookman Old Style"/>
          <w:shd w:val="clear" w:color="auto" w:fill="FFFFFF"/>
        </w:rPr>
        <w:t xml:space="preserve">í las cosas, </w:t>
      </w:r>
      <w:r w:rsidR="00A54622" w:rsidRPr="00A54622">
        <w:rPr>
          <w:rStyle w:val="normaltextrun"/>
          <w:rFonts w:ascii="Bookman Old Style" w:hAnsi="Bookman Old Style"/>
          <w:shd w:val="clear" w:color="auto" w:fill="FFFFFF"/>
        </w:rPr>
        <w:t xml:space="preserve">el </w:t>
      </w:r>
      <w:r w:rsidRPr="00A54622">
        <w:rPr>
          <w:rStyle w:val="normaltextrun"/>
          <w:rFonts w:ascii="Bookman Old Style" w:hAnsi="Bookman Old Style"/>
          <w:shd w:val="clear" w:color="auto" w:fill="FFFFFF"/>
        </w:rPr>
        <w:t>5 de septiembre de 2024 el Consejo de Titulares y la Junta de Titulares someti</w:t>
      </w:r>
      <w:r w:rsidR="00846D7A" w:rsidRPr="00A54622">
        <w:rPr>
          <w:rStyle w:val="normaltextrun"/>
          <w:rFonts w:ascii="Bookman Old Style" w:hAnsi="Bookman Old Style"/>
          <w:shd w:val="clear" w:color="auto" w:fill="FFFFFF"/>
        </w:rPr>
        <w:t>eron</w:t>
      </w:r>
      <w:r w:rsidRPr="00A54622">
        <w:rPr>
          <w:rStyle w:val="normaltextrun"/>
          <w:rFonts w:ascii="Bookman Old Style" w:hAnsi="Bookman Old Style"/>
          <w:shd w:val="clear" w:color="auto" w:fill="FFFFFF"/>
        </w:rPr>
        <w:t xml:space="preserve"> </w:t>
      </w:r>
      <w:r w:rsidRPr="00A54622">
        <w:rPr>
          <w:rStyle w:val="normaltextrun"/>
          <w:rFonts w:ascii="Bookman Old Style" w:hAnsi="Bookman Old Style"/>
          <w:shd w:val="clear" w:color="auto" w:fill="FFFFFF"/>
          <w:lang w:val="es-MX"/>
        </w:rPr>
        <w:t xml:space="preserve">una </w:t>
      </w:r>
      <w:r w:rsidRPr="00A54622">
        <w:rPr>
          <w:rStyle w:val="normaltextrun"/>
          <w:rFonts w:ascii="Bookman Old Style" w:hAnsi="Bookman Old Style"/>
          <w:i/>
          <w:iCs/>
          <w:shd w:val="clear" w:color="auto" w:fill="FFFFFF"/>
          <w:lang w:val="es-MX"/>
        </w:rPr>
        <w:t>Segunda Solicitud de Sentencia Sumaria</w:t>
      </w:r>
      <w:r w:rsidRPr="00A54622">
        <w:rPr>
          <w:rStyle w:val="normaltextrun"/>
          <w:rFonts w:ascii="Bookman Old Style" w:hAnsi="Bookman Old Style"/>
          <w:shd w:val="clear" w:color="auto" w:fill="FFFFFF"/>
          <w:lang w:val="es-MX"/>
        </w:rPr>
        <w:t>.</w:t>
      </w:r>
      <w:r w:rsidR="00846D7A" w:rsidRPr="00A54622">
        <w:rPr>
          <w:rStyle w:val="FootnoteReference"/>
          <w:rFonts w:ascii="Bookman Old Style" w:hAnsi="Bookman Old Style"/>
          <w:shd w:val="clear" w:color="auto" w:fill="FFFFFF"/>
          <w:lang w:val="es-MX"/>
        </w:rPr>
        <w:footnoteReference w:id="12"/>
      </w:r>
      <w:r w:rsidRPr="00A54622">
        <w:rPr>
          <w:rStyle w:val="normaltextrun"/>
          <w:rFonts w:ascii="Bookman Old Style" w:hAnsi="Bookman Old Style"/>
          <w:shd w:val="clear" w:color="auto" w:fill="FFFFFF"/>
          <w:lang w:val="es-MX"/>
        </w:rPr>
        <w:t xml:space="preserve"> En el referido escrito, alegaron que Mateo Rivera fue electo como el agente administrador </w:t>
      </w:r>
      <w:r w:rsidRPr="00A54622">
        <w:rPr>
          <w:rStyle w:val="normaltextrun"/>
          <w:rFonts w:ascii="Bookman Old Style" w:hAnsi="Bookman Old Style"/>
          <w:shd w:val="clear" w:color="auto" w:fill="FFFFFF"/>
        </w:rPr>
        <w:t xml:space="preserve">del </w:t>
      </w:r>
      <w:r w:rsidRPr="00A54622">
        <w:rPr>
          <w:rStyle w:val="normaltextrun"/>
          <w:rFonts w:ascii="Bookman Old Style" w:hAnsi="Bookman Old Style"/>
          <w:shd w:val="clear" w:color="auto" w:fill="FFFFFF"/>
          <w:lang w:val="es-MX"/>
        </w:rPr>
        <w:t>Condominio Caribe Golf Villas mediante asamblea el 18 de agosto de 2015. Argumentaron, que este contrato tenía un término de un año, por lo que vencía el 17 de agosto de cada año. Adujeron que el 2 de agosto de 2021, le notificaron mediante una carta a Mateo Rivera que se estaría contratando los servicios de un nuevo agente administrador, por lo que no estarían necesitando su</w:t>
      </w:r>
      <w:r w:rsidR="00CA1866" w:rsidRPr="00A54622">
        <w:rPr>
          <w:rStyle w:val="normaltextrun"/>
          <w:rFonts w:ascii="Bookman Old Style" w:hAnsi="Bookman Old Style"/>
          <w:shd w:val="clear" w:color="auto" w:fill="FFFFFF"/>
          <w:lang w:val="es-MX"/>
        </w:rPr>
        <w:t>s</w:t>
      </w:r>
      <w:r w:rsidRPr="00A54622">
        <w:rPr>
          <w:rStyle w:val="normaltextrun"/>
          <w:rFonts w:ascii="Bookman Old Style" w:hAnsi="Bookman Old Style"/>
          <w:shd w:val="clear" w:color="auto" w:fill="FFFFFF"/>
          <w:lang w:val="es-MX"/>
        </w:rPr>
        <w:t xml:space="preserve"> servicio</w:t>
      </w:r>
      <w:r w:rsidR="00CA1866" w:rsidRPr="00A54622">
        <w:rPr>
          <w:rStyle w:val="normaltextrun"/>
          <w:rFonts w:ascii="Bookman Old Style" w:hAnsi="Bookman Old Style"/>
          <w:shd w:val="clear" w:color="auto" w:fill="FFFFFF"/>
          <w:lang w:val="es-MX"/>
        </w:rPr>
        <w:t>s</w:t>
      </w:r>
      <w:r w:rsidRPr="00A54622">
        <w:rPr>
          <w:rStyle w:val="normaltextrun"/>
          <w:rFonts w:ascii="Bookman Old Style" w:hAnsi="Bookman Old Style"/>
          <w:shd w:val="clear" w:color="auto" w:fill="FFFFFF"/>
          <w:lang w:val="es-MX"/>
        </w:rPr>
        <w:t xml:space="preserve">. </w:t>
      </w:r>
      <w:r w:rsidR="00CA1866" w:rsidRPr="00A54622">
        <w:rPr>
          <w:rStyle w:val="normaltextrun"/>
          <w:rFonts w:ascii="Bookman Old Style" w:hAnsi="Bookman Old Style"/>
          <w:shd w:val="clear" w:color="auto" w:fill="FFFFFF"/>
          <w:lang w:val="es-MX"/>
        </w:rPr>
        <w:t>En vista de lo anterior</w:t>
      </w:r>
      <w:r w:rsidRPr="00A54622">
        <w:rPr>
          <w:rStyle w:val="normaltextrun"/>
          <w:rFonts w:ascii="Bookman Old Style" w:hAnsi="Bookman Old Style"/>
          <w:shd w:val="clear" w:color="auto" w:fill="FFFFFF"/>
          <w:lang w:val="es-MX"/>
        </w:rPr>
        <w:t xml:space="preserve">, el 10 de septiembre de 2021, la Junta de </w:t>
      </w:r>
      <w:proofErr w:type="gramStart"/>
      <w:r w:rsidRPr="00A54622">
        <w:rPr>
          <w:rStyle w:val="normaltextrun"/>
          <w:rFonts w:ascii="Bookman Old Style" w:hAnsi="Bookman Old Style"/>
          <w:shd w:val="clear" w:color="auto" w:fill="FFFFFF"/>
          <w:lang w:val="es-MX"/>
        </w:rPr>
        <w:t>Directores</w:t>
      </w:r>
      <w:proofErr w:type="gramEnd"/>
      <w:r w:rsidRPr="00A54622">
        <w:rPr>
          <w:rStyle w:val="normaltextrun"/>
          <w:rFonts w:ascii="Bookman Old Style" w:hAnsi="Bookman Old Style"/>
          <w:shd w:val="clear" w:color="auto" w:fill="FFFFFF"/>
          <w:lang w:val="es-MX"/>
        </w:rPr>
        <w:t xml:space="preserve"> convocó una asamblea extraordinaria para el 17 de septiembre del mismo año en la cual se incluyeron</w:t>
      </w:r>
      <w:r w:rsidR="005006F0" w:rsidRPr="00A54622">
        <w:rPr>
          <w:rStyle w:val="normaltextrun"/>
          <w:rFonts w:ascii="Bookman Old Style" w:hAnsi="Bookman Old Style"/>
          <w:shd w:val="clear" w:color="auto" w:fill="FFFFFF"/>
          <w:lang w:val="es-MX"/>
        </w:rPr>
        <w:t xml:space="preserve">, </w:t>
      </w:r>
      <w:r w:rsidRPr="00A54622">
        <w:rPr>
          <w:rStyle w:val="normaltextrun"/>
          <w:rFonts w:ascii="Bookman Old Style" w:hAnsi="Bookman Old Style"/>
          <w:shd w:val="clear" w:color="auto" w:fill="FFFFFF"/>
          <w:lang w:val="es-MX"/>
        </w:rPr>
        <w:t>como parte de la agenda</w:t>
      </w:r>
      <w:r w:rsidR="005006F0" w:rsidRPr="00A54622">
        <w:rPr>
          <w:rStyle w:val="normaltextrun"/>
          <w:rFonts w:ascii="Bookman Old Style" w:hAnsi="Bookman Old Style"/>
          <w:shd w:val="clear" w:color="auto" w:fill="FFFFFF"/>
          <w:lang w:val="es-MX"/>
        </w:rPr>
        <w:t xml:space="preserve">, </w:t>
      </w:r>
      <w:r w:rsidRPr="00A54622">
        <w:rPr>
          <w:rStyle w:val="normaltextrun"/>
          <w:rFonts w:ascii="Bookman Old Style" w:hAnsi="Bookman Old Style"/>
          <w:shd w:val="clear" w:color="auto" w:fill="FFFFFF"/>
          <w:lang w:val="es-MX"/>
        </w:rPr>
        <w:t>la cancelación del contrato de Mateo Rivera y la aprobación del contrato de administración de Olga Ruberté. Celebrada la asamblea, se aprobó la contratación de Olga Ruberté como agente administrador. </w:t>
      </w:r>
      <w:r w:rsidRPr="00A54622">
        <w:rPr>
          <w:rStyle w:val="eop"/>
          <w:rFonts w:ascii="Bookman Old Style" w:hAnsi="Bookman Old Style"/>
          <w:shd w:val="clear" w:color="auto" w:fill="FFFFFF"/>
        </w:rPr>
        <w:t> </w:t>
      </w:r>
      <w:r w:rsidR="004C1AA5" w:rsidRPr="00A54622">
        <w:rPr>
          <w:rFonts w:ascii="Bookman Old Style" w:hAnsi="Bookman Old Style" w:cs="Arial"/>
          <w:lang w:val="es-MX"/>
        </w:rPr>
        <w:tab/>
      </w:r>
    </w:p>
    <w:p w14:paraId="1EA935C3" w14:textId="4D504C23" w:rsidR="001B62D2" w:rsidRPr="00A54622" w:rsidRDefault="001B62D2" w:rsidP="007F2BF2">
      <w:pPr>
        <w:spacing w:line="480" w:lineRule="auto"/>
        <w:ind w:firstLine="720"/>
        <w:contextualSpacing/>
        <w:jc w:val="both"/>
        <w:rPr>
          <w:rFonts w:ascii="Bookman Old Style" w:hAnsi="Bookman Old Style" w:cs="Arial"/>
          <w:lang w:val="es-MX"/>
        </w:rPr>
      </w:pPr>
      <w:r w:rsidRPr="00A54622">
        <w:rPr>
          <w:rStyle w:val="normaltextrun"/>
          <w:rFonts w:ascii="Bookman Old Style" w:hAnsi="Bookman Old Style"/>
          <w:shd w:val="clear" w:color="auto" w:fill="FFFFFF"/>
        </w:rPr>
        <w:t xml:space="preserve">El Consejo de Titulares y la Junta de Titulares arguyeron </w:t>
      </w:r>
      <w:r w:rsidRPr="00A54622">
        <w:rPr>
          <w:rStyle w:val="normaltextrun"/>
          <w:rFonts w:ascii="Bookman Old Style" w:hAnsi="Bookman Old Style"/>
          <w:shd w:val="clear" w:color="auto" w:fill="FFFFFF"/>
          <w:lang w:val="es-MX"/>
        </w:rPr>
        <w:t>que procedía dictar sentencia de manera sumaria pues el contrato de agente administrador de Mateo Rivera se canceló conforme</w:t>
      </w:r>
      <w:r w:rsidR="005006F0" w:rsidRPr="00A54622">
        <w:rPr>
          <w:rStyle w:val="normaltextrun"/>
          <w:rFonts w:ascii="Bookman Old Style" w:hAnsi="Bookman Old Style"/>
          <w:shd w:val="clear" w:color="auto" w:fill="FFFFFF"/>
          <w:lang w:val="es-MX"/>
        </w:rPr>
        <w:t xml:space="preserve"> a </w:t>
      </w:r>
      <w:r w:rsidRPr="00A54622">
        <w:rPr>
          <w:rStyle w:val="normaltextrun"/>
          <w:rFonts w:ascii="Bookman Old Style" w:hAnsi="Bookman Old Style"/>
          <w:shd w:val="clear" w:color="auto" w:fill="FFFFFF"/>
          <w:lang w:val="es-MX"/>
        </w:rPr>
        <w:t>derecho. Esto es así, pues alegaron que el 17 de septiembre de 2021, decidieron</w:t>
      </w:r>
      <w:r w:rsidR="005006F0" w:rsidRPr="00A54622">
        <w:rPr>
          <w:rStyle w:val="normaltextrun"/>
          <w:rFonts w:ascii="Bookman Old Style" w:hAnsi="Bookman Old Style"/>
          <w:shd w:val="clear" w:color="auto" w:fill="FFFFFF"/>
          <w:lang w:val="es-MX"/>
        </w:rPr>
        <w:t xml:space="preserve">, </w:t>
      </w:r>
      <w:r w:rsidRPr="00A54622">
        <w:rPr>
          <w:rStyle w:val="normaltextrun"/>
          <w:rFonts w:ascii="Bookman Old Style" w:hAnsi="Bookman Old Style"/>
          <w:shd w:val="clear" w:color="auto" w:fill="FFFFFF"/>
          <w:lang w:val="es-MX"/>
        </w:rPr>
        <w:t>mediante asamblea extraordinaria, contratar como agente administrador a Olga Ruberté</w:t>
      </w:r>
      <w:r w:rsidR="001C73E1" w:rsidRPr="00A54622">
        <w:rPr>
          <w:rStyle w:val="normaltextrun"/>
          <w:rFonts w:ascii="Bookman Old Style" w:hAnsi="Bookman Old Style"/>
          <w:shd w:val="clear" w:color="auto" w:fill="FFFFFF"/>
          <w:lang w:val="es-MX"/>
        </w:rPr>
        <w:t>,</w:t>
      </w:r>
      <w:r w:rsidRPr="00A54622">
        <w:rPr>
          <w:rStyle w:val="normaltextrun"/>
          <w:rFonts w:ascii="Bookman Old Style" w:hAnsi="Bookman Old Style"/>
          <w:shd w:val="clear" w:color="auto" w:fill="FFFFFF"/>
          <w:lang w:val="es-MX"/>
        </w:rPr>
        <w:t xml:space="preserve"> lo que dio por terminada la relación contractual con Mateo Rivera. Del mismo modo, adujeron que debido a que el término del contrato del agente administrador es de un año, Mateo Rivera no podía alegar que poseía una expectativa de ser mandatario del condominio por los próximos años, cuando debía saber que se podía dar por terminada la relación contractual en cualquier año. </w:t>
      </w:r>
      <w:r w:rsidRPr="00A54622">
        <w:rPr>
          <w:rStyle w:val="eop"/>
          <w:rFonts w:ascii="Bookman Old Style" w:hAnsi="Bookman Old Style"/>
          <w:shd w:val="clear" w:color="auto" w:fill="FFFFFF"/>
        </w:rPr>
        <w:t> </w:t>
      </w:r>
      <w:r w:rsidR="00B2374E" w:rsidRPr="00A54622">
        <w:rPr>
          <w:rFonts w:ascii="Bookman Old Style" w:hAnsi="Bookman Old Style" w:cs="Arial"/>
          <w:lang w:val="es-MX"/>
        </w:rPr>
        <w:tab/>
      </w:r>
    </w:p>
    <w:p w14:paraId="1A966CF4" w14:textId="1C85B8C1" w:rsidR="001B62D2" w:rsidRPr="00A54622" w:rsidRDefault="001B62D2" w:rsidP="0021012B">
      <w:pPr>
        <w:spacing w:line="480" w:lineRule="auto"/>
        <w:ind w:firstLine="720"/>
        <w:contextualSpacing/>
        <w:jc w:val="both"/>
        <w:rPr>
          <w:rFonts w:ascii="Bookman Old Style" w:hAnsi="Bookman Old Style" w:cs="Arial"/>
          <w:lang w:val="es-MX"/>
        </w:rPr>
      </w:pPr>
      <w:r w:rsidRPr="00A54622">
        <w:rPr>
          <w:rStyle w:val="normaltextrun"/>
          <w:rFonts w:ascii="Bookman Old Style" w:hAnsi="Bookman Old Style"/>
          <w:shd w:val="clear" w:color="auto" w:fill="FFFFFF"/>
          <w:lang w:val="es-MX"/>
        </w:rPr>
        <w:t>Por otro lado, arguyeron que al acoger a Olga Ruberté como agente administrador del condominio, se ratificó la terminación del contrato de Mateo Rivera como mandatario de este. De la misma forma, adujeron que no procedían las alegaciones expuestas por Mateo Rivera referente a</w:t>
      </w:r>
      <w:r w:rsidRPr="00A54622">
        <w:rPr>
          <w:rStyle w:val="normaltextrun"/>
          <w:shd w:val="clear" w:color="auto" w:fill="FFFFFF"/>
        </w:rPr>
        <w:t xml:space="preserve"> </w:t>
      </w:r>
      <w:r w:rsidRPr="00A54622">
        <w:rPr>
          <w:rStyle w:val="normaltextrun"/>
          <w:rFonts w:ascii="Bookman Old Style" w:hAnsi="Bookman Old Style"/>
          <w:shd w:val="clear" w:color="auto" w:fill="FFFFFF"/>
          <w:lang w:val="es-MX"/>
        </w:rPr>
        <w:t>la ratificación realizada por el Consejo de Titulares o la falta de notificación del acta de la asamblea extraordinaria realizada el 17 de septiembre de 2021, pues este carecía de legitimación activa para objetarlas</w:t>
      </w:r>
      <w:r w:rsidR="001C73E1" w:rsidRPr="00A54622">
        <w:rPr>
          <w:rStyle w:val="normaltextrun"/>
          <w:rFonts w:ascii="Bookman Old Style" w:hAnsi="Bookman Old Style"/>
          <w:shd w:val="clear" w:color="auto" w:fill="FFFFFF"/>
          <w:lang w:val="es-MX"/>
        </w:rPr>
        <w:t>,</w:t>
      </w:r>
      <w:r w:rsidRPr="00A54622">
        <w:rPr>
          <w:rStyle w:val="normaltextrun"/>
          <w:rFonts w:ascii="Bookman Old Style" w:hAnsi="Bookman Old Style"/>
          <w:shd w:val="clear" w:color="auto" w:fill="FFFFFF"/>
          <w:lang w:val="es-MX"/>
        </w:rPr>
        <w:t xml:space="preserve"> ya que no era titular en el condominio y el término para hacerlo había prescrito.  </w:t>
      </w:r>
      <w:r w:rsidRPr="00A54622">
        <w:rPr>
          <w:rStyle w:val="eop"/>
          <w:rFonts w:ascii="Bookman Old Style" w:hAnsi="Bookman Old Style"/>
          <w:shd w:val="clear" w:color="auto" w:fill="FFFFFF"/>
        </w:rPr>
        <w:t> </w:t>
      </w:r>
      <w:r w:rsidR="004539D4" w:rsidRPr="00A54622">
        <w:rPr>
          <w:rFonts w:ascii="Bookman Old Style" w:hAnsi="Bookman Old Style" w:cs="Arial"/>
          <w:lang w:val="es-MX"/>
        </w:rPr>
        <w:tab/>
      </w:r>
    </w:p>
    <w:p w14:paraId="068723EF" w14:textId="6C28CE5D" w:rsidR="001B62D2" w:rsidRPr="00A54622" w:rsidRDefault="001B62D2" w:rsidP="0021012B">
      <w:pPr>
        <w:spacing w:line="480" w:lineRule="auto"/>
        <w:ind w:firstLine="720"/>
        <w:contextualSpacing/>
        <w:jc w:val="both"/>
        <w:rPr>
          <w:rStyle w:val="eop"/>
          <w:rFonts w:ascii="Bookman Old Style" w:hAnsi="Bookman Old Style"/>
          <w:shd w:val="clear" w:color="auto" w:fill="FFFFFF"/>
        </w:rPr>
      </w:pPr>
      <w:r w:rsidRPr="00A54622">
        <w:rPr>
          <w:rStyle w:val="normaltextrun"/>
          <w:rFonts w:ascii="Bookman Old Style" w:hAnsi="Bookman Old Style"/>
          <w:shd w:val="clear" w:color="auto" w:fill="FFFFFF"/>
          <w:lang w:val="es-MX"/>
        </w:rPr>
        <w:t xml:space="preserve">En respuesta, Mateo Rivera presentó una </w:t>
      </w:r>
      <w:r w:rsidRPr="00A54622">
        <w:rPr>
          <w:rStyle w:val="normaltextrun"/>
          <w:rFonts w:ascii="Bookman Old Style" w:hAnsi="Bookman Old Style"/>
          <w:i/>
          <w:iCs/>
          <w:shd w:val="clear" w:color="auto" w:fill="FFFFFF"/>
          <w:lang w:val="es-MX"/>
        </w:rPr>
        <w:t xml:space="preserve">Oposición a Sentencia Sumaria &amp; Solicitud Anticipada para que </w:t>
      </w:r>
      <w:r w:rsidR="001C73E1" w:rsidRPr="00A54622">
        <w:rPr>
          <w:rStyle w:val="normaltextrun"/>
          <w:rFonts w:ascii="Bookman Old Style" w:hAnsi="Bookman Old Style"/>
          <w:i/>
          <w:iCs/>
          <w:shd w:val="clear" w:color="auto" w:fill="FFFFFF"/>
          <w:lang w:val="es-MX"/>
        </w:rPr>
        <w:t>n</w:t>
      </w:r>
      <w:r w:rsidRPr="00A54622">
        <w:rPr>
          <w:rStyle w:val="normaltextrun"/>
          <w:rFonts w:ascii="Bookman Old Style" w:hAnsi="Bookman Old Style"/>
          <w:i/>
          <w:iCs/>
          <w:shd w:val="clear" w:color="auto" w:fill="FFFFFF"/>
          <w:lang w:val="es-MX"/>
        </w:rPr>
        <w:t xml:space="preserve">o sea Considerada una Réplica a la presente Oposición </w:t>
      </w:r>
      <w:r w:rsidRPr="00A54622">
        <w:rPr>
          <w:rStyle w:val="normaltextrun"/>
          <w:rFonts w:ascii="Bookman Old Style" w:hAnsi="Bookman Old Style"/>
          <w:shd w:val="clear" w:color="auto" w:fill="FFFFFF"/>
          <w:lang w:val="es-MX"/>
        </w:rPr>
        <w:t>el 1 de octubre de 2024.</w:t>
      </w:r>
      <w:r w:rsidR="001C73E1" w:rsidRPr="00A54622">
        <w:rPr>
          <w:rStyle w:val="FootnoteReference"/>
          <w:rFonts w:ascii="Bookman Old Style" w:hAnsi="Bookman Old Style"/>
          <w:shd w:val="clear" w:color="auto" w:fill="FFFFFF"/>
          <w:lang w:val="es-MX"/>
        </w:rPr>
        <w:footnoteReference w:id="13"/>
      </w:r>
      <w:r w:rsidRPr="00A54622">
        <w:rPr>
          <w:rStyle w:val="normaltextrun"/>
          <w:rFonts w:ascii="Bookman Old Style" w:hAnsi="Bookman Old Style"/>
          <w:shd w:val="clear" w:color="auto" w:fill="FFFFFF"/>
          <w:lang w:val="es-MX"/>
        </w:rPr>
        <w:t xml:space="preserve"> En el referido escrito, alegó que no procedía que se dictara sentencia por la vía sumaria pues </w:t>
      </w:r>
      <w:r w:rsidRPr="00A54622">
        <w:rPr>
          <w:rStyle w:val="normaltextrun"/>
          <w:rFonts w:ascii="Bookman Old Style" w:hAnsi="Bookman Old Style"/>
          <w:shd w:val="clear" w:color="auto" w:fill="FFFFFF"/>
        </w:rPr>
        <w:t xml:space="preserve">el Consejo de Titulares y la Junta de Titulares </w:t>
      </w:r>
      <w:r w:rsidRPr="00A54622">
        <w:rPr>
          <w:rStyle w:val="normaltextrun"/>
          <w:rFonts w:ascii="Bookman Old Style" w:hAnsi="Bookman Old Style"/>
          <w:shd w:val="clear" w:color="auto" w:fill="FFFFFF"/>
          <w:lang w:val="es-MX"/>
        </w:rPr>
        <w:t xml:space="preserve">no cumplió con la debida convocatoria que exige la </w:t>
      </w:r>
      <w:r w:rsidRPr="00A54622">
        <w:rPr>
          <w:rStyle w:val="normaltextrun"/>
          <w:rFonts w:ascii="Bookman Old Style" w:hAnsi="Bookman Old Style"/>
          <w:i/>
          <w:iCs/>
          <w:shd w:val="clear" w:color="auto" w:fill="FFFFFF"/>
          <w:lang w:val="es-MX"/>
        </w:rPr>
        <w:t>Ley de Condominios de Puerto Rico</w:t>
      </w:r>
      <w:r w:rsidRPr="00A54622">
        <w:rPr>
          <w:rStyle w:val="normaltextrun"/>
          <w:rFonts w:ascii="Bookman Old Style" w:hAnsi="Bookman Old Style"/>
          <w:shd w:val="clear" w:color="auto" w:fill="FFFFFF"/>
          <w:lang w:val="es-MX"/>
        </w:rPr>
        <w:t xml:space="preserve">, supra, para ratificar la cancelación del contrato de este como agente administrador del condominio. Adujo que a pesar de que aparecía en el acta de la asamblea extraordinaria, como uno de los puntos </w:t>
      </w:r>
      <w:r w:rsidR="000547C3" w:rsidRPr="00A54622">
        <w:rPr>
          <w:rStyle w:val="normaltextrun"/>
          <w:rFonts w:ascii="Bookman Old Style" w:hAnsi="Bookman Old Style"/>
          <w:shd w:val="clear" w:color="auto" w:fill="FFFFFF"/>
          <w:lang w:val="es-MX"/>
        </w:rPr>
        <w:t>a discutir</w:t>
      </w:r>
      <w:r w:rsidR="005006F0" w:rsidRPr="00A54622">
        <w:rPr>
          <w:rStyle w:val="normaltextrun"/>
          <w:rFonts w:ascii="Bookman Old Style" w:hAnsi="Bookman Old Style"/>
          <w:shd w:val="clear" w:color="auto" w:fill="FFFFFF"/>
          <w:lang w:val="es-MX"/>
        </w:rPr>
        <w:t xml:space="preserve">, </w:t>
      </w:r>
      <w:r w:rsidRPr="00A54622">
        <w:rPr>
          <w:rStyle w:val="normaltextrun"/>
          <w:rFonts w:ascii="Bookman Old Style" w:hAnsi="Bookman Old Style"/>
          <w:shd w:val="clear" w:color="auto" w:fill="FFFFFF"/>
          <w:lang w:val="es-MX"/>
        </w:rPr>
        <w:t>la cancelación del contrato</w:t>
      </w:r>
      <w:r w:rsidR="005006F0" w:rsidRPr="00A54622">
        <w:rPr>
          <w:rStyle w:val="normaltextrun"/>
          <w:rFonts w:ascii="Bookman Old Style" w:hAnsi="Bookman Old Style"/>
          <w:shd w:val="clear" w:color="auto" w:fill="FFFFFF"/>
          <w:lang w:val="es-MX"/>
        </w:rPr>
        <w:t xml:space="preserve"> de</w:t>
      </w:r>
      <w:r w:rsidRPr="00A54622">
        <w:rPr>
          <w:rStyle w:val="normaltextrun"/>
          <w:rFonts w:ascii="Bookman Old Style" w:hAnsi="Bookman Old Style"/>
          <w:shd w:val="clear" w:color="auto" w:fill="FFFFFF"/>
          <w:lang w:val="es-MX"/>
        </w:rPr>
        <w:t xml:space="preserve"> este como agente administrador, no surg</w:t>
      </w:r>
      <w:r w:rsidR="00A54622" w:rsidRPr="00A54622">
        <w:rPr>
          <w:rStyle w:val="normaltextrun"/>
          <w:rFonts w:ascii="Bookman Old Style" w:hAnsi="Bookman Old Style"/>
          <w:shd w:val="clear" w:color="auto" w:fill="FFFFFF"/>
          <w:lang w:val="es-MX"/>
        </w:rPr>
        <w:t xml:space="preserve">ía </w:t>
      </w:r>
      <w:r w:rsidRPr="00A54622">
        <w:rPr>
          <w:rStyle w:val="normaltextrun"/>
          <w:rFonts w:ascii="Bookman Old Style" w:hAnsi="Bookman Old Style"/>
          <w:shd w:val="clear" w:color="auto" w:fill="FFFFFF"/>
          <w:lang w:val="es-MX"/>
        </w:rPr>
        <w:t>del acta que se hubiese discutido la cancelación de</w:t>
      </w:r>
      <w:r w:rsidR="00A54622" w:rsidRPr="00A54622">
        <w:rPr>
          <w:rStyle w:val="normaltextrun"/>
          <w:rFonts w:ascii="Bookman Old Style" w:hAnsi="Bookman Old Style"/>
          <w:shd w:val="clear" w:color="auto" w:fill="FFFFFF"/>
          <w:lang w:val="es-MX"/>
        </w:rPr>
        <w:t xml:space="preserve"> su</w:t>
      </w:r>
      <w:r w:rsidRPr="00A54622">
        <w:rPr>
          <w:rStyle w:val="normaltextrun"/>
          <w:rFonts w:ascii="Bookman Old Style" w:hAnsi="Bookman Old Style"/>
          <w:shd w:val="clear" w:color="auto" w:fill="FFFFFF"/>
          <w:lang w:val="es-MX"/>
        </w:rPr>
        <w:t xml:space="preserve"> contrato</w:t>
      </w:r>
      <w:r w:rsidR="00A54622" w:rsidRPr="00A54622">
        <w:rPr>
          <w:rStyle w:val="normaltextrun"/>
          <w:rFonts w:ascii="Bookman Old Style" w:hAnsi="Bookman Old Style"/>
          <w:shd w:val="clear" w:color="auto" w:fill="FFFFFF"/>
          <w:lang w:val="es-MX"/>
        </w:rPr>
        <w:t xml:space="preserve"> como administrador</w:t>
      </w:r>
      <w:r w:rsidRPr="00A54622">
        <w:rPr>
          <w:rStyle w:val="normaltextrun"/>
          <w:rFonts w:ascii="Bookman Old Style" w:hAnsi="Bookman Old Style"/>
          <w:shd w:val="clear" w:color="auto" w:fill="FFFFFF"/>
          <w:lang w:val="es-MX"/>
        </w:rPr>
        <w:t xml:space="preserve"> o la ratificación del nuevo contrato de</w:t>
      </w:r>
      <w:r w:rsidR="00A54622" w:rsidRPr="00A54622">
        <w:rPr>
          <w:rStyle w:val="normaltextrun"/>
          <w:rFonts w:ascii="Bookman Old Style" w:hAnsi="Bookman Old Style"/>
          <w:shd w:val="clear" w:color="auto" w:fill="FFFFFF"/>
          <w:lang w:val="es-MX"/>
        </w:rPr>
        <w:t xml:space="preserve"> un</w:t>
      </w:r>
      <w:r w:rsidRPr="00A54622">
        <w:rPr>
          <w:rStyle w:val="normaltextrun"/>
          <w:rFonts w:ascii="Bookman Old Style" w:hAnsi="Bookman Old Style"/>
          <w:shd w:val="clear" w:color="auto" w:fill="FFFFFF"/>
          <w:lang w:val="es-MX"/>
        </w:rPr>
        <w:t xml:space="preserve"> agente administrador por parte del Consejo de Titulares. Del mismo modo, arguyó que existe ausencia total de prueba sobre la debida notificación del acta de la asamblea del 17 de septiembre de 2021 a todos los titulares.  </w:t>
      </w:r>
      <w:r w:rsidRPr="00A54622">
        <w:rPr>
          <w:rStyle w:val="eop"/>
          <w:rFonts w:ascii="Bookman Old Style" w:hAnsi="Bookman Old Style"/>
          <w:shd w:val="clear" w:color="auto" w:fill="FFFFFF"/>
        </w:rPr>
        <w:t> </w:t>
      </w:r>
    </w:p>
    <w:p w14:paraId="419FEB50" w14:textId="60D00C83" w:rsidR="00275458" w:rsidRPr="00A54622" w:rsidRDefault="00CE1EE4" w:rsidP="00CA3EF0">
      <w:pPr>
        <w:spacing w:line="480" w:lineRule="auto"/>
        <w:contextualSpacing/>
        <w:jc w:val="both"/>
        <w:rPr>
          <w:rFonts w:ascii="Bookman Old Style" w:hAnsi="Bookman Old Style" w:cs="Arial"/>
          <w:lang w:val="es-MX"/>
        </w:rPr>
      </w:pPr>
      <w:r w:rsidRPr="00A54622">
        <w:rPr>
          <w:rFonts w:ascii="Bookman Old Style" w:hAnsi="Bookman Old Style" w:cs="Arial"/>
          <w:lang w:val="es-MX"/>
        </w:rPr>
        <w:tab/>
        <w:t xml:space="preserve">Por otro lado, </w:t>
      </w:r>
      <w:r w:rsidR="00275458" w:rsidRPr="00A54622">
        <w:rPr>
          <w:rFonts w:ascii="Bookman Old Style" w:hAnsi="Bookman Old Style" w:cs="Arial"/>
          <w:lang w:val="es-MX"/>
        </w:rPr>
        <w:t xml:space="preserve">Mateo Rivera expuso los siguientes asuntos litigiosos como aquellos que se </w:t>
      </w:r>
      <w:r w:rsidR="001B62D2" w:rsidRPr="00A54622">
        <w:rPr>
          <w:rFonts w:ascii="Bookman Old Style" w:hAnsi="Bookman Old Style" w:cs="Arial"/>
          <w:lang w:val="es-MX"/>
        </w:rPr>
        <w:t>encontraban</w:t>
      </w:r>
      <w:r w:rsidR="00275458" w:rsidRPr="00A54622">
        <w:rPr>
          <w:rFonts w:ascii="Bookman Old Style" w:hAnsi="Bookman Old Style" w:cs="Arial"/>
          <w:lang w:val="es-MX"/>
        </w:rPr>
        <w:t xml:space="preserve"> en controversia:</w:t>
      </w:r>
    </w:p>
    <w:p w14:paraId="3C163B4E" w14:textId="4B70B4D3" w:rsidR="007A5CE9" w:rsidRPr="00A54622" w:rsidRDefault="00275458" w:rsidP="005006F0">
      <w:pPr>
        <w:tabs>
          <w:tab w:val="left" w:pos="1080"/>
        </w:tabs>
        <w:ind w:left="720" w:right="720"/>
        <w:contextualSpacing/>
        <w:jc w:val="both"/>
        <w:rPr>
          <w:rFonts w:ascii="Bookman Old Style" w:hAnsi="Bookman Old Style" w:cs="Arial"/>
          <w:lang w:val="es-MX"/>
        </w:rPr>
      </w:pPr>
      <w:r w:rsidRPr="00A54622">
        <w:rPr>
          <w:rFonts w:ascii="Bookman Old Style" w:hAnsi="Bookman Old Style" w:cs="Arial"/>
          <w:lang w:val="es-MX"/>
        </w:rPr>
        <w:t>1</w:t>
      </w:r>
      <w:r w:rsidR="005F33E6" w:rsidRPr="00A54622">
        <w:rPr>
          <w:rFonts w:ascii="Bookman Old Style" w:hAnsi="Bookman Old Style" w:cs="Arial"/>
          <w:lang w:val="es-MX"/>
        </w:rPr>
        <w:t>-</w:t>
      </w:r>
      <w:r w:rsidR="005006F0" w:rsidRPr="00A54622">
        <w:rPr>
          <w:rFonts w:ascii="Bookman Old Style" w:hAnsi="Bookman Old Style" w:cs="Arial"/>
          <w:lang w:val="es-MX"/>
        </w:rPr>
        <w:tab/>
      </w:r>
      <w:r w:rsidR="007533BA" w:rsidRPr="00A54622">
        <w:rPr>
          <w:rFonts w:ascii="Bookman Old Style" w:hAnsi="Bookman Old Style" w:cs="Arial"/>
          <w:lang w:val="es-MX"/>
        </w:rPr>
        <w:t xml:space="preserve">Que para el día 2 de agosto de 2021, no contaba la Junta de </w:t>
      </w:r>
      <w:proofErr w:type="gramStart"/>
      <w:r w:rsidR="007533BA" w:rsidRPr="00A54622">
        <w:rPr>
          <w:rFonts w:ascii="Bookman Old Style" w:hAnsi="Bookman Old Style" w:cs="Arial"/>
          <w:lang w:val="es-MX"/>
        </w:rPr>
        <w:t>Directores</w:t>
      </w:r>
      <w:proofErr w:type="gramEnd"/>
      <w:r w:rsidR="007533BA" w:rsidRPr="00A54622">
        <w:rPr>
          <w:rFonts w:ascii="Bookman Old Style" w:hAnsi="Bookman Old Style" w:cs="Arial"/>
          <w:lang w:val="es-MX"/>
        </w:rPr>
        <w:t xml:space="preserve"> </w:t>
      </w:r>
      <w:r w:rsidR="000D25F6" w:rsidRPr="00A54622">
        <w:rPr>
          <w:rFonts w:ascii="Bookman Old Style" w:hAnsi="Bookman Old Style" w:cs="Arial"/>
          <w:lang w:val="es-MX"/>
        </w:rPr>
        <w:t>con elementos para establecer Justa Causa y proceder con la cancelación del contrato.</w:t>
      </w:r>
    </w:p>
    <w:p w14:paraId="61F08070" w14:textId="7853A60D" w:rsidR="00275458" w:rsidRPr="00A54622" w:rsidRDefault="000D25F6" w:rsidP="005006F0">
      <w:pPr>
        <w:tabs>
          <w:tab w:val="left" w:pos="1080"/>
        </w:tabs>
        <w:ind w:left="720" w:right="720"/>
        <w:contextualSpacing/>
        <w:jc w:val="both"/>
        <w:rPr>
          <w:rFonts w:ascii="Bookman Old Style" w:hAnsi="Bookman Old Style" w:cs="Arial"/>
          <w:lang w:val="es-MX"/>
        </w:rPr>
      </w:pPr>
      <w:r w:rsidRPr="00A54622">
        <w:rPr>
          <w:rFonts w:ascii="Bookman Old Style" w:hAnsi="Bookman Old Style" w:cs="Arial"/>
          <w:lang w:val="es-MX"/>
        </w:rPr>
        <w:t xml:space="preserve"> </w:t>
      </w:r>
    </w:p>
    <w:p w14:paraId="67067D37" w14:textId="3E85DF90" w:rsidR="000D25F6" w:rsidRPr="00A54622" w:rsidRDefault="000D25F6" w:rsidP="005006F0">
      <w:pPr>
        <w:tabs>
          <w:tab w:val="left" w:pos="1080"/>
        </w:tabs>
        <w:ind w:left="720" w:right="720"/>
        <w:contextualSpacing/>
        <w:jc w:val="both"/>
        <w:rPr>
          <w:rFonts w:ascii="Bookman Old Style" w:hAnsi="Bookman Old Style" w:cs="Arial"/>
          <w:lang w:val="es-MX"/>
        </w:rPr>
      </w:pPr>
      <w:r w:rsidRPr="00A54622">
        <w:rPr>
          <w:rFonts w:ascii="Bookman Old Style" w:hAnsi="Bookman Old Style" w:cs="Arial"/>
          <w:lang w:val="es-MX"/>
        </w:rPr>
        <w:t>2</w:t>
      </w:r>
      <w:r w:rsidR="005F33E6" w:rsidRPr="00A54622">
        <w:rPr>
          <w:rFonts w:ascii="Bookman Old Style" w:hAnsi="Bookman Old Style" w:cs="Arial"/>
          <w:lang w:val="es-MX"/>
        </w:rPr>
        <w:t>-</w:t>
      </w:r>
      <w:r w:rsidR="005006F0" w:rsidRPr="00A54622">
        <w:rPr>
          <w:rFonts w:ascii="Bookman Old Style" w:hAnsi="Bookman Old Style" w:cs="Arial"/>
          <w:lang w:val="es-MX"/>
        </w:rPr>
        <w:tab/>
      </w:r>
      <w:r w:rsidRPr="00A54622">
        <w:rPr>
          <w:rFonts w:ascii="Bookman Old Style" w:hAnsi="Bookman Old Style" w:cs="Arial"/>
          <w:lang w:val="es-MX"/>
        </w:rPr>
        <w:t xml:space="preserve">Que teniendo </w:t>
      </w:r>
      <w:r w:rsidR="007476D0" w:rsidRPr="00A54622">
        <w:rPr>
          <w:rFonts w:ascii="Bookman Old Style" w:hAnsi="Bookman Old Style" w:cs="Arial"/>
          <w:lang w:val="es-MX"/>
        </w:rPr>
        <w:t xml:space="preserve">el deber la Junta de </w:t>
      </w:r>
      <w:proofErr w:type="gramStart"/>
      <w:r w:rsidR="007476D0" w:rsidRPr="00A54622">
        <w:rPr>
          <w:rFonts w:ascii="Bookman Old Style" w:hAnsi="Bookman Old Style" w:cs="Arial"/>
          <w:lang w:val="es-MX"/>
        </w:rPr>
        <w:t>Directores</w:t>
      </w:r>
      <w:proofErr w:type="gramEnd"/>
      <w:r w:rsidR="007476D0" w:rsidRPr="00A54622">
        <w:rPr>
          <w:rFonts w:ascii="Bookman Old Style" w:hAnsi="Bookman Old Style" w:cs="Arial"/>
          <w:lang w:val="es-MX"/>
        </w:rPr>
        <w:t xml:space="preserve"> de Convocar </w:t>
      </w:r>
      <w:r w:rsidR="000547C3" w:rsidRPr="00A54622">
        <w:rPr>
          <w:rFonts w:ascii="Bookman Old Style" w:hAnsi="Bookman Old Style" w:cs="Arial"/>
          <w:lang w:val="es-MX"/>
        </w:rPr>
        <w:t>a</w:t>
      </w:r>
      <w:r w:rsidR="007476D0" w:rsidRPr="00A54622">
        <w:rPr>
          <w:rFonts w:ascii="Bookman Old Style" w:hAnsi="Bookman Old Style" w:cs="Arial"/>
          <w:lang w:val="es-MX"/>
        </w:rPr>
        <w:t xml:space="preserve">l Consejo de Titulares </w:t>
      </w:r>
      <w:r w:rsidR="00BD67DC" w:rsidRPr="00A54622">
        <w:rPr>
          <w:rFonts w:ascii="Bookman Old Style" w:hAnsi="Bookman Old Style" w:cs="Arial"/>
          <w:lang w:val="es-MX"/>
        </w:rPr>
        <w:t xml:space="preserve">para ratificar la cancelación del contrato del demandante, no procedieron </w:t>
      </w:r>
      <w:r w:rsidR="0051579B" w:rsidRPr="00A54622">
        <w:rPr>
          <w:rFonts w:ascii="Bookman Old Style" w:hAnsi="Bookman Old Style" w:cs="Arial"/>
          <w:lang w:val="es-MX"/>
        </w:rPr>
        <w:t xml:space="preserve">como demanda la ley al no notificar de la Asamblea a TODOS los titulares, por lo que no medió la Debida Convocatoria. </w:t>
      </w:r>
    </w:p>
    <w:p w14:paraId="346E7A28" w14:textId="77777777" w:rsidR="007A5CE9" w:rsidRPr="00A54622" w:rsidRDefault="007A5CE9" w:rsidP="005006F0">
      <w:pPr>
        <w:tabs>
          <w:tab w:val="left" w:pos="1080"/>
        </w:tabs>
        <w:ind w:left="720" w:right="720"/>
        <w:contextualSpacing/>
        <w:jc w:val="both"/>
        <w:rPr>
          <w:rFonts w:ascii="Bookman Old Style" w:hAnsi="Bookman Old Style" w:cs="Arial"/>
          <w:lang w:val="es-MX"/>
        </w:rPr>
      </w:pPr>
    </w:p>
    <w:p w14:paraId="2F75E1D9" w14:textId="5FB081F6" w:rsidR="0051579B" w:rsidRPr="00A54622" w:rsidRDefault="0051579B" w:rsidP="005006F0">
      <w:pPr>
        <w:tabs>
          <w:tab w:val="left" w:pos="1080"/>
        </w:tabs>
        <w:ind w:left="720" w:right="720"/>
        <w:contextualSpacing/>
        <w:jc w:val="both"/>
        <w:rPr>
          <w:rFonts w:ascii="Bookman Old Style" w:hAnsi="Bookman Old Style" w:cs="Arial"/>
          <w:lang w:val="es-MX"/>
        </w:rPr>
      </w:pPr>
      <w:r w:rsidRPr="00A54622">
        <w:rPr>
          <w:rFonts w:ascii="Bookman Old Style" w:hAnsi="Bookman Old Style" w:cs="Arial"/>
          <w:lang w:val="es-MX"/>
        </w:rPr>
        <w:t>3</w:t>
      </w:r>
      <w:r w:rsidR="005F33E6" w:rsidRPr="00A54622">
        <w:rPr>
          <w:rFonts w:ascii="Bookman Old Style" w:hAnsi="Bookman Old Style" w:cs="Arial"/>
          <w:lang w:val="es-MX"/>
        </w:rPr>
        <w:t>-</w:t>
      </w:r>
      <w:r w:rsidR="005006F0" w:rsidRPr="00A54622">
        <w:rPr>
          <w:rFonts w:ascii="Bookman Old Style" w:hAnsi="Bookman Old Style" w:cs="Arial"/>
          <w:lang w:val="es-MX"/>
        </w:rPr>
        <w:tab/>
      </w:r>
      <w:r w:rsidRPr="00A54622">
        <w:rPr>
          <w:rFonts w:ascii="Bookman Old Style" w:hAnsi="Bookman Old Style" w:cs="Arial"/>
          <w:lang w:val="es-MX"/>
        </w:rPr>
        <w:t xml:space="preserve">Que la susodicha </w:t>
      </w:r>
      <w:r w:rsidR="009B0D93" w:rsidRPr="00A54622">
        <w:rPr>
          <w:rFonts w:ascii="Bookman Old Style" w:hAnsi="Bookman Old Style" w:cs="Arial"/>
          <w:lang w:val="es-MX"/>
        </w:rPr>
        <w:t>convocatoria que alega la demanda</w:t>
      </w:r>
      <w:r w:rsidR="000547C3" w:rsidRPr="00A54622">
        <w:rPr>
          <w:rFonts w:ascii="Bookman Old Style" w:hAnsi="Bookman Old Style" w:cs="Arial"/>
          <w:lang w:val="es-MX"/>
        </w:rPr>
        <w:t>da</w:t>
      </w:r>
      <w:r w:rsidR="009B0D93" w:rsidRPr="00A54622">
        <w:rPr>
          <w:rFonts w:ascii="Bookman Old Style" w:hAnsi="Bookman Old Style" w:cs="Arial"/>
          <w:lang w:val="es-MX"/>
        </w:rPr>
        <w:t xml:space="preserve"> realizó para ratificar la cancelación </w:t>
      </w:r>
      <w:r w:rsidR="00CA13CA" w:rsidRPr="00A54622">
        <w:rPr>
          <w:rFonts w:ascii="Bookman Old Style" w:hAnsi="Bookman Old Style" w:cs="Arial"/>
          <w:lang w:val="es-MX"/>
        </w:rPr>
        <w:t xml:space="preserve">del contrato del demandante, fue fuera del </w:t>
      </w:r>
      <w:r w:rsidR="005F33E6" w:rsidRPr="00A54622">
        <w:rPr>
          <w:rFonts w:ascii="Bookman Old Style" w:hAnsi="Bookman Old Style" w:cs="Arial"/>
          <w:lang w:val="es-MX"/>
        </w:rPr>
        <w:t>término</w:t>
      </w:r>
      <w:r w:rsidR="00CA13CA" w:rsidRPr="00A54622">
        <w:rPr>
          <w:rFonts w:ascii="Bookman Old Style" w:hAnsi="Bookman Old Style" w:cs="Arial"/>
          <w:lang w:val="es-MX"/>
        </w:rPr>
        <w:t xml:space="preserve"> de ley.</w:t>
      </w:r>
    </w:p>
    <w:p w14:paraId="26CCA3E2" w14:textId="77777777" w:rsidR="007A5CE9" w:rsidRPr="00A54622" w:rsidRDefault="007A5CE9" w:rsidP="005006F0">
      <w:pPr>
        <w:tabs>
          <w:tab w:val="left" w:pos="1080"/>
        </w:tabs>
        <w:ind w:left="720" w:right="720"/>
        <w:contextualSpacing/>
        <w:jc w:val="both"/>
        <w:rPr>
          <w:rFonts w:ascii="Bookman Old Style" w:hAnsi="Bookman Old Style" w:cs="Arial"/>
          <w:lang w:val="es-MX"/>
        </w:rPr>
      </w:pPr>
    </w:p>
    <w:p w14:paraId="46EAAFC8" w14:textId="24A9B51B" w:rsidR="001F2DB3" w:rsidRPr="00A54622" w:rsidRDefault="00CA13CA" w:rsidP="005006F0">
      <w:pPr>
        <w:tabs>
          <w:tab w:val="left" w:pos="1080"/>
        </w:tabs>
        <w:ind w:left="720" w:right="720"/>
        <w:contextualSpacing/>
        <w:jc w:val="both"/>
        <w:rPr>
          <w:rFonts w:ascii="Bookman Old Style" w:hAnsi="Bookman Old Style" w:cs="Arial"/>
          <w:lang w:val="es-MX"/>
        </w:rPr>
      </w:pPr>
      <w:r w:rsidRPr="00A54622">
        <w:rPr>
          <w:rFonts w:ascii="Bookman Old Style" w:hAnsi="Bookman Old Style" w:cs="Arial"/>
          <w:lang w:val="es-MX"/>
        </w:rPr>
        <w:t>4</w:t>
      </w:r>
      <w:r w:rsidR="005F33E6" w:rsidRPr="00A54622">
        <w:rPr>
          <w:rFonts w:ascii="Bookman Old Style" w:hAnsi="Bookman Old Style" w:cs="Arial"/>
          <w:lang w:val="es-MX"/>
        </w:rPr>
        <w:t>-</w:t>
      </w:r>
      <w:r w:rsidR="005006F0" w:rsidRPr="00A54622">
        <w:rPr>
          <w:rFonts w:ascii="Bookman Old Style" w:hAnsi="Bookman Old Style" w:cs="Arial"/>
          <w:lang w:val="es-MX"/>
        </w:rPr>
        <w:tab/>
      </w:r>
      <w:r w:rsidR="005F33E6" w:rsidRPr="00A54622">
        <w:rPr>
          <w:rFonts w:ascii="Bookman Old Style" w:hAnsi="Bookman Old Style" w:cs="Arial"/>
          <w:lang w:val="es-MX"/>
        </w:rPr>
        <w:t xml:space="preserve">Que el día 17 de septiembre de 2021, no se discutió </w:t>
      </w:r>
      <w:r w:rsidR="00BE38CB" w:rsidRPr="00A54622">
        <w:rPr>
          <w:rFonts w:ascii="Bookman Old Style" w:hAnsi="Bookman Old Style" w:cs="Arial"/>
          <w:lang w:val="es-MX"/>
        </w:rPr>
        <w:t xml:space="preserve">la cancelación del contrato del demandante, por lo que </w:t>
      </w:r>
      <w:r w:rsidR="00706D7F" w:rsidRPr="00A54622">
        <w:rPr>
          <w:rFonts w:ascii="Bookman Old Style" w:hAnsi="Bookman Old Style" w:cs="Arial"/>
          <w:lang w:val="es-MX"/>
        </w:rPr>
        <w:t xml:space="preserve">no hubo ratificación, a parte que no se cumplió con la debida convocatoria. </w:t>
      </w:r>
    </w:p>
    <w:p w14:paraId="0F488867" w14:textId="77777777" w:rsidR="007A5CE9" w:rsidRPr="00A54622" w:rsidRDefault="007A5CE9" w:rsidP="005006F0">
      <w:pPr>
        <w:tabs>
          <w:tab w:val="left" w:pos="1080"/>
        </w:tabs>
        <w:ind w:left="720" w:right="720"/>
        <w:contextualSpacing/>
        <w:jc w:val="both"/>
        <w:rPr>
          <w:rFonts w:ascii="Bookman Old Style" w:hAnsi="Bookman Old Style" w:cs="Arial"/>
          <w:lang w:val="es-MX"/>
        </w:rPr>
      </w:pPr>
    </w:p>
    <w:p w14:paraId="26FEF728" w14:textId="0E6F5F47" w:rsidR="007A5CE9" w:rsidRPr="00A54622" w:rsidRDefault="001F2DB3" w:rsidP="005006F0">
      <w:pPr>
        <w:tabs>
          <w:tab w:val="left" w:pos="1080"/>
        </w:tabs>
        <w:ind w:left="720" w:right="720"/>
        <w:contextualSpacing/>
        <w:jc w:val="both"/>
        <w:rPr>
          <w:rFonts w:ascii="Bookman Old Style" w:hAnsi="Bookman Old Style" w:cs="Arial"/>
          <w:lang w:val="es-MX"/>
        </w:rPr>
      </w:pPr>
      <w:r w:rsidRPr="00A54622">
        <w:rPr>
          <w:rFonts w:ascii="Bookman Old Style" w:hAnsi="Bookman Old Style" w:cs="Arial"/>
          <w:lang w:val="es-MX"/>
        </w:rPr>
        <w:t>5-</w:t>
      </w:r>
      <w:r w:rsidR="005006F0" w:rsidRPr="00A54622">
        <w:rPr>
          <w:rFonts w:ascii="Bookman Old Style" w:hAnsi="Bookman Old Style" w:cs="Arial"/>
          <w:lang w:val="es-MX"/>
        </w:rPr>
        <w:tab/>
      </w:r>
      <w:r w:rsidRPr="00A54622">
        <w:rPr>
          <w:rFonts w:ascii="Bookman Old Style" w:hAnsi="Bookman Old Style" w:cs="Arial"/>
          <w:lang w:val="es-MX"/>
        </w:rPr>
        <w:t>Si bajo las funciones realizadas por el demandante este podía ser catalogado</w:t>
      </w:r>
      <w:r w:rsidR="000E040A" w:rsidRPr="00A54622">
        <w:rPr>
          <w:rFonts w:ascii="Bookman Old Style" w:hAnsi="Bookman Old Style" w:cs="Arial"/>
          <w:lang w:val="es-MX"/>
        </w:rPr>
        <w:t xml:space="preserve"> como un mero administrador.</w:t>
      </w:r>
    </w:p>
    <w:p w14:paraId="59199203" w14:textId="6CA592D5" w:rsidR="000E040A" w:rsidRPr="00A54622" w:rsidRDefault="000E040A" w:rsidP="005006F0">
      <w:pPr>
        <w:tabs>
          <w:tab w:val="left" w:pos="1080"/>
        </w:tabs>
        <w:ind w:left="720" w:right="720"/>
        <w:contextualSpacing/>
        <w:jc w:val="both"/>
        <w:rPr>
          <w:rFonts w:ascii="Bookman Old Style" w:hAnsi="Bookman Old Style" w:cs="Arial"/>
          <w:lang w:val="es-MX"/>
        </w:rPr>
      </w:pPr>
      <w:r w:rsidRPr="00A54622">
        <w:rPr>
          <w:rFonts w:ascii="Bookman Old Style" w:hAnsi="Bookman Old Style" w:cs="Arial"/>
          <w:lang w:val="es-MX"/>
        </w:rPr>
        <w:t xml:space="preserve"> </w:t>
      </w:r>
    </w:p>
    <w:p w14:paraId="1F75918D" w14:textId="58F95BC6" w:rsidR="009F7C71" w:rsidRPr="00A54622" w:rsidRDefault="000E040A" w:rsidP="005006F0">
      <w:pPr>
        <w:tabs>
          <w:tab w:val="left" w:pos="1080"/>
        </w:tabs>
        <w:ind w:left="720" w:right="720"/>
        <w:contextualSpacing/>
        <w:jc w:val="both"/>
        <w:rPr>
          <w:rFonts w:ascii="Bookman Old Style" w:hAnsi="Bookman Old Style" w:cs="Arial"/>
          <w:lang w:val="es-MX"/>
        </w:rPr>
      </w:pPr>
      <w:r w:rsidRPr="00A54622">
        <w:rPr>
          <w:rFonts w:ascii="Bookman Old Style" w:hAnsi="Bookman Old Style" w:cs="Arial"/>
          <w:lang w:val="es-MX"/>
        </w:rPr>
        <w:t>6-</w:t>
      </w:r>
      <w:r w:rsidR="005006F0" w:rsidRPr="00A54622">
        <w:rPr>
          <w:rFonts w:ascii="Bookman Old Style" w:hAnsi="Bookman Old Style" w:cs="Arial"/>
          <w:lang w:val="es-MX"/>
        </w:rPr>
        <w:tab/>
      </w:r>
      <w:r w:rsidRPr="00A54622">
        <w:rPr>
          <w:rFonts w:ascii="Bookman Old Style" w:hAnsi="Bookman Old Style" w:cs="Arial"/>
          <w:lang w:val="es-MX"/>
        </w:rPr>
        <w:t>Si como cuestión de hecho, se establece que en este caso</w:t>
      </w:r>
      <w:r w:rsidR="007A5CE9" w:rsidRPr="00A54622">
        <w:rPr>
          <w:rFonts w:ascii="Bookman Old Style" w:hAnsi="Bookman Old Style" w:cs="Arial"/>
          <w:lang w:val="es-MX"/>
        </w:rPr>
        <w:t xml:space="preserve"> medió intervención torticera contractual. </w:t>
      </w:r>
      <w:r w:rsidR="00BE38CB" w:rsidRPr="00A54622">
        <w:rPr>
          <w:rFonts w:ascii="Bookman Old Style" w:hAnsi="Bookman Old Style" w:cs="Arial"/>
          <w:lang w:val="es-MX"/>
        </w:rPr>
        <w:t xml:space="preserve"> </w:t>
      </w:r>
    </w:p>
    <w:p w14:paraId="5F2C27CD" w14:textId="77777777" w:rsidR="009F7C71" w:rsidRPr="00A54622" w:rsidRDefault="009F7C71" w:rsidP="009F7C71">
      <w:pPr>
        <w:ind w:left="720" w:right="720"/>
        <w:contextualSpacing/>
        <w:jc w:val="both"/>
        <w:rPr>
          <w:rFonts w:ascii="Bookman Old Style" w:hAnsi="Bookman Old Style" w:cs="Arial"/>
          <w:lang w:val="es-MX"/>
        </w:rPr>
      </w:pPr>
    </w:p>
    <w:p w14:paraId="6E100634" w14:textId="5043F1AB" w:rsidR="008F5F04" w:rsidRPr="00A54622" w:rsidRDefault="009F7C71" w:rsidP="008F5F04">
      <w:pPr>
        <w:spacing w:line="480" w:lineRule="auto"/>
        <w:ind w:firstLine="720"/>
        <w:contextualSpacing/>
        <w:jc w:val="both"/>
        <w:rPr>
          <w:rFonts w:ascii="Bookman Old Style" w:hAnsi="Bookman Old Style" w:cs="Arial"/>
          <w:lang w:val="es-MX"/>
        </w:rPr>
      </w:pPr>
      <w:r w:rsidRPr="00A54622">
        <w:rPr>
          <w:rFonts w:ascii="Bookman Old Style" w:hAnsi="Bookman Old Style" w:cs="Arial"/>
          <w:lang w:val="es-MX"/>
        </w:rPr>
        <w:t xml:space="preserve">Finalmente, </w:t>
      </w:r>
      <w:r w:rsidR="005C0717" w:rsidRPr="00A54622">
        <w:rPr>
          <w:rFonts w:ascii="Bookman Old Style" w:hAnsi="Bookman Old Style" w:cs="Arial"/>
          <w:lang w:val="es-MX"/>
        </w:rPr>
        <w:t xml:space="preserve">el Tribunal de </w:t>
      </w:r>
      <w:r w:rsidR="00AF7719" w:rsidRPr="00A54622">
        <w:rPr>
          <w:rFonts w:ascii="Bookman Old Style" w:hAnsi="Bookman Old Style" w:cs="Arial"/>
          <w:lang w:val="es-MX"/>
        </w:rPr>
        <w:t xml:space="preserve">Primera Instancia </w:t>
      </w:r>
      <w:r w:rsidR="00F05331" w:rsidRPr="00A54622">
        <w:rPr>
          <w:rFonts w:ascii="Bookman Old Style" w:hAnsi="Bookman Old Style" w:cs="Arial"/>
          <w:lang w:val="es-MX"/>
        </w:rPr>
        <w:t xml:space="preserve">emitió una </w:t>
      </w:r>
      <w:r w:rsidR="00F05331" w:rsidRPr="00A54622">
        <w:rPr>
          <w:rFonts w:ascii="Bookman Old Style" w:hAnsi="Bookman Old Style" w:cs="Arial"/>
          <w:i/>
          <w:iCs/>
          <w:lang w:val="es-MX"/>
        </w:rPr>
        <w:t>Sentencia</w:t>
      </w:r>
      <w:r w:rsidR="00F05331" w:rsidRPr="00A54622">
        <w:rPr>
          <w:rFonts w:ascii="Bookman Old Style" w:hAnsi="Bookman Old Style" w:cs="Arial"/>
          <w:lang w:val="es-MX"/>
        </w:rPr>
        <w:t xml:space="preserve"> el 17 de </w:t>
      </w:r>
      <w:r w:rsidR="00047865" w:rsidRPr="00A54622">
        <w:rPr>
          <w:rFonts w:ascii="Bookman Old Style" w:hAnsi="Bookman Old Style" w:cs="Arial"/>
          <w:lang w:val="es-MX"/>
        </w:rPr>
        <w:t>diciembre de 2024</w:t>
      </w:r>
      <w:r w:rsidR="001F0005" w:rsidRPr="00A54622">
        <w:rPr>
          <w:rFonts w:ascii="Bookman Old Style" w:hAnsi="Bookman Old Style" w:cs="Arial"/>
          <w:lang w:val="es-MX"/>
        </w:rPr>
        <w:t>, notificada el 19 de diciembre de 2024</w:t>
      </w:r>
      <w:r w:rsidR="00047865" w:rsidRPr="00A54622">
        <w:rPr>
          <w:rFonts w:ascii="Bookman Old Style" w:hAnsi="Bookman Old Style" w:cs="Arial"/>
          <w:lang w:val="es-MX"/>
        </w:rPr>
        <w:t>.</w:t>
      </w:r>
      <w:r w:rsidR="00914BF9" w:rsidRPr="00A54622">
        <w:rPr>
          <w:rStyle w:val="FootnoteReference"/>
          <w:rFonts w:ascii="Bookman Old Style" w:hAnsi="Bookman Old Style" w:cs="Arial"/>
          <w:lang w:val="es-MX"/>
        </w:rPr>
        <w:footnoteReference w:id="14"/>
      </w:r>
      <w:r w:rsidR="00047865" w:rsidRPr="00A54622">
        <w:rPr>
          <w:rFonts w:ascii="Bookman Old Style" w:hAnsi="Bookman Old Style" w:cs="Arial"/>
          <w:lang w:val="es-MX"/>
        </w:rPr>
        <w:t xml:space="preserve"> En el referido dictamen, el foro </w:t>
      </w:r>
      <w:r w:rsidR="00047865" w:rsidRPr="00A54622">
        <w:rPr>
          <w:rFonts w:ascii="Bookman Old Style" w:hAnsi="Bookman Old Style" w:cs="Arial"/>
          <w:i/>
          <w:iCs/>
          <w:lang w:val="es-MX"/>
        </w:rPr>
        <w:t xml:space="preserve">a quo </w:t>
      </w:r>
      <w:r w:rsidR="00047865" w:rsidRPr="00A54622">
        <w:rPr>
          <w:rFonts w:ascii="Bookman Old Style" w:hAnsi="Bookman Old Style" w:cs="Arial"/>
          <w:lang w:val="es-MX"/>
        </w:rPr>
        <w:t xml:space="preserve">declaró </w:t>
      </w:r>
      <w:r w:rsidR="006252AC" w:rsidRPr="00A54622">
        <w:rPr>
          <w:rFonts w:ascii="Bookman Old Style" w:hAnsi="Bookman Old Style" w:cs="Arial"/>
          <w:lang w:val="es-MX"/>
        </w:rPr>
        <w:t xml:space="preserve">Ha Lugar la </w:t>
      </w:r>
      <w:r w:rsidR="006252AC" w:rsidRPr="00A54622">
        <w:rPr>
          <w:rFonts w:ascii="Bookman Old Style" w:hAnsi="Bookman Old Style" w:cs="Arial"/>
          <w:i/>
          <w:iCs/>
          <w:lang w:val="es-MX"/>
        </w:rPr>
        <w:t xml:space="preserve">Segunda Solicitud </w:t>
      </w:r>
      <w:r w:rsidR="00B830E5" w:rsidRPr="00A54622">
        <w:rPr>
          <w:rFonts w:ascii="Bookman Old Style" w:hAnsi="Bookman Old Style" w:cs="Arial"/>
          <w:i/>
          <w:iCs/>
          <w:lang w:val="es-MX"/>
        </w:rPr>
        <w:t xml:space="preserve">de Sentencia Sumaria </w:t>
      </w:r>
      <w:r w:rsidR="000A337F" w:rsidRPr="00A54622">
        <w:rPr>
          <w:rFonts w:ascii="Bookman Old Style" w:hAnsi="Bookman Old Style" w:cs="Arial"/>
          <w:lang w:val="es-MX"/>
        </w:rPr>
        <w:t xml:space="preserve">desestimando con perjuicio la </w:t>
      </w:r>
      <w:r w:rsidR="000A337F" w:rsidRPr="00A54622">
        <w:rPr>
          <w:rFonts w:ascii="Bookman Old Style" w:hAnsi="Bookman Old Style" w:cs="Arial"/>
          <w:i/>
          <w:iCs/>
          <w:lang w:val="es-MX"/>
        </w:rPr>
        <w:t>Demanda</w:t>
      </w:r>
      <w:r w:rsidR="000A337F" w:rsidRPr="00A54622">
        <w:rPr>
          <w:rFonts w:ascii="Bookman Old Style" w:hAnsi="Bookman Old Style" w:cs="Arial"/>
          <w:lang w:val="es-MX"/>
        </w:rPr>
        <w:t xml:space="preserve"> </w:t>
      </w:r>
      <w:r w:rsidR="0088085D" w:rsidRPr="00A54622">
        <w:rPr>
          <w:rFonts w:ascii="Bookman Old Style" w:hAnsi="Bookman Old Style" w:cs="Arial"/>
          <w:i/>
          <w:iCs/>
          <w:lang w:val="es-MX"/>
        </w:rPr>
        <w:t>Enmendada</w:t>
      </w:r>
      <w:r w:rsidR="0088085D" w:rsidRPr="00A54622">
        <w:rPr>
          <w:rFonts w:ascii="Bookman Old Style" w:hAnsi="Bookman Old Style" w:cs="Arial"/>
          <w:lang w:val="es-MX"/>
        </w:rPr>
        <w:t xml:space="preserve"> presentada por Mateo Rivera. </w:t>
      </w:r>
      <w:r w:rsidR="008F5F04" w:rsidRPr="00A54622">
        <w:rPr>
          <w:rFonts w:ascii="Bookman Old Style" w:hAnsi="Bookman Old Style" w:cs="Arial"/>
          <w:lang w:val="es-MX"/>
        </w:rPr>
        <w:t>El foro primario emitió las siguientes determinaciones de hechos:</w:t>
      </w:r>
    </w:p>
    <w:p w14:paraId="4729B460" w14:textId="46DFA69F" w:rsidR="008F5F04" w:rsidRPr="00A54622" w:rsidRDefault="00063135" w:rsidP="008C6B30">
      <w:pPr>
        <w:tabs>
          <w:tab w:val="left" w:pos="1080"/>
        </w:tabs>
        <w:ind w:left="720" w:right="720"/>
        <w:contextualSpacing/>
        <w:jc w:val="both"/>
        <w:rPr>
          <w:rFonts w:ascii="Bookman Old Style" w:hAnsi="Bookman Old Style"/>
        </w:rPr>
      </w:pPr>
      <w:r w:rsidRPr="00A54622">
        <w:rPr>
          <w:rFonts w:ascii="Bookman Old Style" w:hAnsi="Bookman Old Style"/>
        </w:rPr>
        <w:t>1.</w:t>
      </w:r>
      <w:r w:rsidR="008C6B30" w:rsidRPr="00A54622">
        <w:rPr>
          <w:rFonts w:ascii="Bookman Old Style" w:hAnsi="Bookman Old Style"/>
        </w:rPr>
        <w:tab/>
      </w:r>
      <w:r w:rsidRPr="00A54622">
        <w:rPr>
          <w:rFonts w:ascii="Bookman Old Style" w:hAnsi="Bookman Old Style"/>
        </w:rPr>
        <w:t xml:space="preserve">El Golf Villas </w:t>
      </w:r>
      <w:proofErr w:type="spellStart"/>
      <w:r w:rsidRPr="00A54622">
        <w:rPr>
          <w:rFonts w:ascii="Bookman Old Style" w:hAnsi="Bookman Old Style"/>
        </w:rPr>
        <w:t>Condominium</w:t>
      </w:r>
      <w:proofErr w:type="spellEnd"/>
      <w:r w:rsidRPr="00A54622">
        <w:rPr>
          <w:rFonts w:ascii="Bookman Old Style" w:hAnsi="Bookman Old Style"/>
        </w:rPr>
        <w:t xml:space="preserve"> fue sometido al régimen de propiedad horizontal conforme la escritura pública número 16 del 19 de octubre de 2004 ante el notario Jorge M. Ruiz Montilla.</w:t>
      </w:r>
    </w:p>
    <w:p w14:paraId="66A2B3D7" w14:textId="77777777" w:rsidR="004330EB" w:rsidRPr="00A54622" w:rsidRDefault="004330EB" w:rsidP="008C6B30">
      <w:pPr>
        <w:tabs>
          <w:tab w:val="left" w:pos="1080"/>
        </w:tabs>
        <w:ind w:left="720" w:right="720"/>
        <w:contextualSpacing/>
        <w:jc w:val="both"/>
        <w:rPr>
          <w:rFonts w:ascii="Bookman Old Style" w:hAnsi="Bookman Old Style"/>
        </w:rPr>
      </w:pPr>
    </w:p>
    <w:p w14:paraId="2B7AF07C" w14:textId="11769CE7" w:rsidR="00063135" w:rsidRPr="00A54622" w:rsidRDefault="00A76E19" w:rsidP="008C6B30">
      <w:pPr>
        <w:tabs>
          <w:tab w:val="left" w:pos="1080"/>
        </w:tabs>
        <w:ind w:left="720" w:right="720"/>
        <w:contextualSpacing/>
        <w:jc w:val="both"/>
        <w:rPr>
          <w:rFonts w:ascii="Bookman Old Style" w:hAnsi="Bookman Old Style"/>
        </w:rPr>
      </w:pPr>
      <w:r w:rsidRPr="00A54622">
        <w:rPr>
          <w:rFonts w:ascii="Bookman Old Style" w:hAnsi="Bookman Old Style"/>
        </w:rPr>
        <w:t>2.</w:t>
      </w:r>
      <w:r w:rsidR="008C6B30" w:rsidRPr="00A54622">
        <w:rPr>
          <w:rFonts w:ascii="Bookman Old Style" w:hAnsi="Bookman Old Style"/>
        </w:rPr>
        <w:tab/>
      </w:r>
      <w:r w:rsidRPr="00A54622">
        <w:rPr>
          <w:rFonts w:ascii="Bookman Old Style" w:hAnsi="Bookman Old Style"/>
        </w:rPr>
        <w:t xml:space="preserve">La parte demandante, José E. Mateo Rivera, fue inicialmente contratado por la parte demandada en el 2008. Este fue electo como agente administrador de Golf Villas </w:t>
      </w:r>
      <w:proofErr w:type="spellStart"/>
      <w:r w:rsidRPr="00A54622">
        <w:rPr>
          <w:rFonts w:ascii="Bookman Old Style" w:hAnsi="Bookman Old Style"/>
        </w:rPr>
        <w:t>Condominium</w:t>
      </w:r>
      <w:proofErr w:type="spellEnd"/>
      <w:r w:rsidRPr="00A54622">
        <w:rPr>
          <w:rFonts w:ascii="Bookman Old Style" w:hAnsi="Bookman Old Style"/>
        </w:rPr>
        <w:t xml:space="preserve"> en la asamblea del 18 de agosto de 2015.</w:t>
      </w:r>
    </w:p>
    <w:p w14:paraId="79E19754" w14:textId="77777777" w:rsidR="004330EB" w:rsidRPr="00A54622" w:rsidRDefault="004330EB" w:rsidP="008C6B30">
      <w:pPr>
        <w:tabs>
          <w:tab w:val="left" w:pos="1080"/>
        </w:tabs>
        <w:ind w:left="720" w:right="720"/>
        <w:contextualSpacing/>
        <w:jc w:val="both"/>
        <w:rPr>
          <w:rFonts w:ascii="Bookman Old Style" w:hAnsi="Bookman Old Style"/>
        </w:rPr>
      </w:pPr>
    </w:p>
    <w:p w14:paraId="68439006" w14:textId="6EE03186" w:rsidR="00A76E19" w:rsidRPr="00A54622" w:rsidRDefault="00A76E19" w:rsidP="008C6B30">
      <w:pPr>
        <w:tabs>
          <w:tab w:val="left" w:pos="1080"/>
        </w:tabs>
        <w:ind w:left="720" w:right="720"/>
        <w:contextualSpacing/>
        <w:jc w:val="both"/>
        <w:rPr>
          <w:rFonts w:ascii="Bookman Old Style" w:hAnsi="Bookman Old Style"/>
        </w:rPr>
      </w:pPr>
      <w:r w:rsidRPr="00A54622">
        <w:rPr>
          <w:rFonts w:ascii="Bookman Old Style" w:hAnsi="Bookman Old Style"/>
        </w:rPr>
        <w:t>3.</w:t>
      </w:r>
      <w:r w:rsidR="008C6B30" w:rsidRPr="00A54622">
        <w:rPr>
          <w:rFonts w:ascii="Bookman Old Style" w:hAnsi="Bookman Old Style"/>
        </w:rPr>
        <w:tab/>
      </w:r>
      <w:r w:rsidRPr="00A54622">
        <w:rPr>
          <w:rFonts w:ascii="Bookman Old Style" w:hAnsi="Bookman Old Style"/>
        </w:rPr>
        <w:t xml:space="preserve">El Reglamento de Golf Villas </w:t>
      </w:r>
      <w:proofErr w:type="spellStart"/>
      <w:r w:rsidRPr="00A54622">
        <w:rPr>
          <w:rFonts w:ascii="Bookman Old Style" w:hAnsi="Bookman Old Style"/>
        </w:rPr>
        <w:t>Condominium</w:t>
      </w:r>
      <w:proofErr w:type="spellEnd"/>
      <w:r w:rsidRPr="00A54622">
        <w:rPr>
          <w:rFonts w:ascii="Bookman Old Style" w:hAnsi="Bookman Old Style"/>
        </w:rPr>
        <w:t xml:space="preserve"> no establece un término para el nombramiento del agente administrador.</w:t>
      </w:r>
    </w:p>
    <w:p w14:paraId="04803C35" w14:textId="77777777" w:rsidR="004330EB" w:rsidRPr="00A54622" w:rsidRDefault="004330EB" w:rsidP="008C6B30">
      <w:pPr>
        <w:tabs>
          <w:tab w:val="left" w:pos="1080"/>
        </w:tabs>
        <w:ind w:left="720" w:right="720"/>
        <w:contextualSpacing/>
        <w:jc w:val="both"/>
        <w:rPr>
          <w:rFonts w:ascii="Bookman Old Style" w:hAnsi="Bookman Old Style"/>
        </w:rPr>
      </w:pPr>
    </w:p>
    <w:p w14:paraId="00D72E15" w14:textId="7D4230BE" w:rsidR="00A76E19" w:rsidRPr="00A54622" w:rsidRDefault="004057AB" w:rsidP="008C6B30">
      <w:pPr>
        <w:tabs>
          <w:tab w:val="left" w:pos="1080"/>
        </w:tabs>
        <w:ind w:left="720" w:right="720"/>
        <w:contextualSpacing/>
        <w:jc w:val="both"/>
        <w:rPr>
          <w:rFonts w:ascii="Bookman Old Style" w:hAnsi="Bookman Old Style"/>
        </w:rPr>
      </w:pPr>
      <w:r w:rsidRPr="00A54622">
        <w:rPr>
          <w:rFonts w:ascii="Bookman Old Style" w:hAnsi="Bookman Old Style"/>
        </w:rPr>
        <w:t>4.</w:t>
      </w:r>
      <w:r w:rsidR="008C6B30" w:rsidRPr="00A54622">
        <w:rPr>
          <w:rFonts w:ascii="Bookman Old Style" w:hAnsi="Bookman Old Style"/>
        </w:rPr>
        <w:tab/>
      </w:r>
      <w:r w:rsidRPr="00A54622">
        <w:rPr>
          <w:rFonts w:ascii="Bookman Old Style" w:hAnsi="Bookman Old Style"/>
        </w:rPr>
        <w:t>Por mandato de Ley, el contrato de agente de administración de la parte demandante tenía un término de un año, el cual fue prorrogándose tácitamente por períodos iguales. Habiéndose aprobado su nombramiento en la Asamblea celebrada el 18 de agosto de 2015 estamos en posición de establecer que su contrato prorrogado vencía el 17 de agosto de 2021.</w:t>
      </w:r>
    </w:p>
    <w:p w14:paraId="0601E10D" w14:textId="77777777" w:rsidR="004330EB" w:rsidRPr="00A54622" w:rsidRDefault="004330EB" w:rsidP="008C6B30">
      <w:pPr>
        <w:tabs>
          <w:tab w:val="left" w:pos="1080"/>
        </w:tabs>
        <w:ind w:left="720" w:right="720"/>
        <w:contextualSpacing/>
        <w:jc w:val="both"/>
        <w:rPr>
          <w:rFonts w:ascii="Bookman Old Style" w:hAnsi="Bookman Old Style"/>
        </w:rPr>
      </w:pPr>
    </w:p>
    <w:p w14:paraId="1B1B9DDF" w14:textId="282240C8" w:rsidR="004057AB" w:rsidRPr="00A54622" w:rsidRDefault="003D3664" w:rsidP="008C6B30">
      <w:pPr>
        <w:tabs>
          <w:tab w:val="left" w:pos="1080"/>
        </w:tabs>
        <w:ind w:left="720" w:right="720"/>
        <w:contextualSpacing/>
        <w:jc w:val="both"/>
        <w:rPr>
          <w:rFonts w:ascii="Bookman Old Style" w:hAnsi="Bookman Old Style"/>
        </w:rPr>
      </w:pPr>
      <w:r w:rsidRPr="00A54622">
        <w:rPr>
          <w:rFonts w:ascii="Bookman Old Style" w:hAnsi="Bookman Old Style"/>
        </w:rPr>
        <w:t>5.</w:t>
      </w:r>
      <w:r w:rsidR="008C6B30" w:rsidRPr="00A54622">
        <w:rPr>
          <w:rFonts w:ascii="Bookman Old Style" w:hAnsi="Bookman Old Style"/>
        </w:rPr>
        <w:tab/>
      </w:r>
      <w:r w:rsidRPr="00A54622">
        <w:rPr>
          <w:rFonts w:ascii="Bookman Old Style" w:hAnsi="Bookman Old Style"/>
        </w:rPr>
        <w:t>El 2 de agosto de 2021 se le notificó una carta a la parte demandante en la que se consignó lo siguiente:</w:t>
      </w:r>
    </w:p>
    <w:p w14:paraId="770E2A87" w14:textId="77777777" w:rsidR="004330EB" w:rsidRPr="00A54622" w:rsidRDefault="004330EB" w:rsidP="004330EB">
      <w:pPr>
        <w:ind w:left="1440" w:right="720" w:firstLine="720"/>
        <w:contextualSpacing/>
        <w:jc w:val="both"/>
        <w:rPr>
          <w:rFonts w:ascii="Bookman Old Style" w:hAnsi="Bookman Old Style"/>
        </w:rPr>
      </w:pPr>
    </w:p>
    <w:p w14:paraId="628D0ABD" w14:textId="4BAE415B" w:rsidR="00AC2D11" w:rsidRPr="00A54622" w:rsidRDefault="00AC2D11" w:rsidP="004330EB">
      <w:pPr>
        <w:ind w:left="1440" w:right="720" w:firstLine="720"/>
        <w:contextualSpacing/>
        <w:jc w:val="both"/>
        <w:rPr>
          <w:rFonts w:ascii="Bookman Old Style" w:hAnsi="Bookman Old Style"/>
        </w:rPr>
      </w:pPr>
      <w:r w:rsidRPr="00A54622">
        <w:rPr>
          <w:rFonts w:ascii="Bookman Old Style" w:hAnsi="Bookman Old Style"/>
        </w:rPr>
        <w:t xml:space="preserve">Por este medio le informamos que nuestra Junta del Consejo de Titulares de CCGV le agradece su colaboración como contable y administrador durante los últimos años. </w:t>
      </w:r>
    </w:p>
    <w:p w14:paraId="21948403" w14:textId="77777777" w:rsidR="00EE062C" w:rsidRPr="00A54622" w:rsidRDefault="00AC2D11" w:rsidP="004330EB">
      <w:pPr>
        <w:ind w:left="1440" w:right="720" w:firstLine="720"/>
        <w:contextualSpacing/>
        <w:jc w:val="both"/>
        <w:rPr>
          <w:rFonts w:ascii="Bookman Old Style" w:hAnsi="Bookman Old Style"/>
        </w:rPr>
      </w:pPr>
      <w:r w:rsidRPr="00A54622">
        <w:rPr>
          <w:rFonts w:ascii="Bookman Old Style" w:hAnsi="Bookman Old Style"/>
        </w:rPr>
        <w:t xml:space="preserve">Por diferentes razones de índole administrativo hemos tomado la decisión de contratar los servicios de una administradora, la Sra. Olga </w:t>
      </w:r>
      <w:proofErr w:type="spellStart"/>
      <w:r w:rsidRPr="00A54622">
        <w:rPr>
          <w:rFonts w:ascii="Bookman Old Style" w:hAnsi="Bookman Old Style"/>
        </w:rPr>
        <w:t>Ruberté</w:t>
      </w:r>
      <w:proofErr w:type="spellEnd"/>
      <w:r w:rsidRPr="00A54622">
        <w:rPr>
          <w:rFonts w:ascii="Bookman Old Style" w:hAnsi="Bookman Old Style"/>
        </w:rPr>
        <w:t xml:space="preserve"> que estará presente más tiempo en nuestra oficina, [e] igualmente un nuevo contable el Sr. Jaime Negrón, que se encargará de todo lo relacionado a la administración de nuestras finanzas. Estos comenzarán sus labores el presente mes. </w:t>
      </w:r>
    </w:p>
    <w:p w14:paraId="6323ECC2" w14:textId="77777777" w:rsidR="00EE062C" w:rsidRPr="00A54622" w:rsidRDefault="00AC2D11" w:rsidP="004330EB">
      <w:pPr>
        <w:ind w:left="1440" w:right="720" w:firstLine="720"/>
        <w:contextualSpacing/>
        <w:jc w:val="both"/>
        <w:rPr>
          <w:rFonts w:ascii="Bookman Old Style" w:hAnsi="Bookman Old Style"/>
        </w:rPr>
      </w:pPr>
      <w:r w:rsidRPr="00A54622">
        <w:rPr>
          <w:rFonts w:ascii="Bookman Old Style" w:hAnsi="Bookman Old Style"/>
        </w:rPr>
        <w:t xml:space="preserve">Por este medio le solicitamos su acostumbrada cooperación para que le facilite a nuestro nuevo personal administrativo todos los documentos relacionados a nuestro proyecto residencial antes del 31 de agosto del 2021, incluyendo los débitos de mantenimiento de los titulares de este mes (sin incluir partida por el seguro). </w:t>
      </w:r>
    </w:p>
    <w:p w14:paraId="24F9A403" w14:textId="77777777" w:rsidR="00EE062C" w:rsidRPr="00A54622" w:rsidRDefault="00AC2D11" w:rsidP="004330EB">
      <w:pPr>
        <w:ind w:left="1440" w:right="720" w:firstLine="720"/>
        <w:contextualSpacing/>
        <w:jc w:val="both"/>
        <w:rPr>
          <w:rFonts w:ascii="Bookman Old Style" w:hAnsi="Bookman Old Style"/>
        </w:rPr>
      </w:pPr>
      <w:r w:rsidRPr="00A54622">
        <w:rPr>
          <w:rFonts w:ascii="Bookman Old Style" w:hAnsi="Bookman Old Style"/>
        </w:rPr>
        <w:t>Incluimos la lista solicitada (anexo 1) por el nuevo personal para poder hacer una transición efectiva. Favor de entregar los documentos requeridos en el anexo 1 antes del 31 de agosto de 2021, que sería el último día en que usted rendiría sus servicios.</w:t>
      </w:r>
    </w:p>
    <w:p w14:paraId="157D9486" w14:textId="77777777" w:rsidR="00EE062C" w:rsidRPr="00A54622" w:rsidRDefault="00AC2D11" w:rsidP="004330EB">
      <w:pPr>
        <w:ind w:left="1440" w:right="720" w:firstLine="720"/>
        <w:contextualSpacing/>
        <w:jc w:val="both"/>
        <w:rPr>
          <w:rFonts w:ascii="Bookman Old Style" w:hAnsi="Bookman Old Style"/>
        </w:rPr>
      </w:pPr>
      <w:r w:rsidRPr="00A54622">
        <w:rPr>
          <w:rFonts w:ascii="Bookman Old Style" w:hAnsi="Bookman Old Style"/>
        </w:rPr>
        <w:t xml:space="preserve"> Agradecemos su acostumbrada colaboración a nuestra petición y reiterando nuestro agradecimiento por sus gestiones. </w:t>
      </w:r>
    </w:p>
    <w:p w14:paraId="5485F7D7" w14:textId="77777777" w:rsidR="00EE062C" w:rsidRPr="00A54622" w:rsidRDefault="00AC2D11" w:rsidP="004330EB">
      <w:pPr>
        <w:ind w:left="1440" w:right="720" w:firstLine="720"/>
        <w:contextualSpacing/>
        <w:jc w:val="both"/>
        <w:rPr>
          <w:rFonts w:ascii="Bookman Old Style" w:hAnsi="Bookman Old Style"/>
        </w:rPr>
      </w:pPr>
      <w:r w:rsidRPr="00A54622">
        <w:rPr>
          <w:rFonts w:ascii="Bookman Old Style" w:hAnsi="Bookman Old Style"/>
        </w:rPr>
        <w:t xml:space="preserve">Atentamente, </w:t>
      </w:r>
    </w:p>
    <w:p w14:paraId="042FC498" w14:textId="1123636D" w:rsidR="003D3664" w:rsidRPr="00A54622" w:rsidRDefault="00AC2D11" w:rsidP="004330EB">
      <w:pPr>
        <w:ind w:left="1440" w:right="720" w:firstLine="720"/>
        <w:contextualSpacing/>
        <w:jc w:val="both"/>
        <w:rPr>
          <w:rFonts w:ascii="Bookman Old Style" w:hAnsi="Bookman Old Style"/>
        </w:rPr>
      </w:pPr>
      <w:r w:rsidRPr="00A54622">
        <w:rPr>
          <w:rFonts w:ascii="Bookman Old Style" w:hAnsi="Bookman Old Style"/>
        </w:rPr>
        <w:t>Fdo. Fdo. Fdo. Fdo. Fdo. Belén Hernández Joyce Vargas Armando Riega Arnaldo Colón David Silva presidenta CCGV tesorera CCGV secretario CCGV vocal CCGV vocal CCGV</w:t>
      </w:r>
      <w:r w:rsidR="00EE062C" w:rsidRPr="00A54622">
        <w:rPr>
          <w:rFonts w:ascii="Bookman Old Style" w:hAnsi="Bookman Old Style"/>
        </w:rPr>
        <w:t>[.]</w:t>
      </w:r>
    </w:p>
    <w:p w14:paraId="15AA0CD0" w14:textId="77777777" w:rsidR="004330EB" w:rsidRPr="00A54622" w:rsidRDefault="004330EB" w:rsidP="004330EB">
      <w:pPr>
        <w:ind w:left="720" w:right="720" w:firstLine="720"/>
        <w:contextualSpacing/>
        <w:jc w:val="both"/>
        <w:rPr>
          <w:rFonts w:ascii="Bookman Old Style" w:hAnsi="Bookman Old Style"/>
        </w:rPr>
      </w:pPr>
    </w:p>
    <w:p w14:paraId="3EA874B1" w14:textId="294CD215" w:rsidR="00EE062C" w:rsidRPr="00A54622" w:rsidRDefault="004330EB" w:rsidP="00475391">
      <w:pPr>
        <w:tabs>
          <w:tab w:val="left" w:pos="1080"/>
        </w:tabs>
        <w:ind w:left="720" w:right="720"/>
        <w:contextualSpacing/>
        <w:jc w:val="both"/>
        <w:rPr>
          <w:rFonts w:ascii="Bookman Old Style" w:hAnsi="Bookman Old Style"/>
        </w:rPr>
      </w:pPr>
      <w:r w:rsidRPr="00A54622">
        <w:rPr>
          <w:rFonts w:ascii="Bookman Old Style" w:hAnsi="Bookman Old Style"/>
        </w:rPr>
        <w:t xml:space="preserve">6. </w:t>
      </w:r>
      <w:r w:rsidR="00475391" w:rsidRPr="00A54622">
        <w:rPr>
          <w:rFonts w:ascii="Bookman Old Style" w:hAnsi="Bookman Old Style"/>
        </w:rPr>
        <w:tab/>
      </w:r>
      <w:r w:rsidRPr="00A54622">
        <w:rPr>
          <w:rFonts w:ascii="Bookman Old Style" w:hAnsi="Bookman Old Style"/>
        </w:rPr>
        <w:t xml:space="preserve">El 10 de septiembre de 2021 la Junta de </w:t>
      </w:r>
      <w:proofErr w:type="gramStart"/>
      <w:r w:rsidRPr="00A54622">
        <w:rPr>
          <w:rFonts w:ascii="Bookman Old Style" w:hAnsi="Bookman Old Style"/>
        </w:rPr>
        <w:t>Directores</w:t>
      </w:r>
      <w:proofErr w:type="gramEnd"/>
      <w:r w:rsidRPr="00A54622">
        <w:rPr>
          <w:rFonts w:ascii="Bookman Old Style" w:hAnsi="Bookman Old Style"/>
        </w:rPr>
        <w:t xml:space="preserve"> de Golf Villas </w:t>
      </w:r>
      <w:proofErr w:type="spellStart"/>
      <w:r w:rsidRPr="00A54622">
        <w:rPr>
          <w:rFonts w:ascii="Bookman Old Style" w:hAnsi="Bookman Old Style"/>
        </w:rPr>
        <w:t>Condominium</w:t>
      </w:r>
      <w:proofErr w:type="spellEnd"/>
      <w:r w:rsidRPr="00A54622">
        <w:rPr>
          <w:rFonts w:ascii="Bookman Old Style" w:hAnsi="Bookman Old Style"/>
        </w:rPr>
        <w:t xml:space="preserve"> convocó una asamblea para el 17 de septiembre de 2021 en la que se incluyeron como parte de la agenda "Cancelación contrato Sr. Mateo Rivera" y “Aprobación contrato de administración de la Sra. Olga </w:t>
      </w:r>
      <w:proofErr w:type="spellStart"/>
      <w:r w:rsidRPr="00A54622">
        <w:rPr>
          <w:rFonts w:ascii="Bookman Old Style" w:hAnsi="Bookman Old Style"/>
        </w:rPr>
        <w:t>Ruberté</w:t>
      </w:r>
      <w:proofErr w:type="spellEnd"/>
      <w:r w:rsidRPr="00A54622">
        <w:rPr>
          <w:rFonts w:ascii="Bookman Old Style" w:hAnsi="Bookman Old Style"/>
        </w:rPr>
        <w:t>".</w:t>
      </w:r>
    </w:p>
    <w:p w14:paraId="36E45671" w14:textId="77777777" w:rsidR="004330EB" w:rsidRPr="00A54622" w:rsidRDefault="004330EB" w:rsidP="00475391">
      <w:pPr>
        <w:tabs>
          <w:tab w:val="left" w:pos="1080"/>
        </w:tabs>
        <w:ind w:left="720" w:right="720"/>
        <w:contextualSpacing/>
        <w:jc w:val="both"/>
        <w:rPr>
          <w:rFonts w:ascii="Bookman Old Style" w:hAnsi="Bookman Old Style"/>
        </w:rPr>
      </w:pPr>
    </w:p>
    <w:p w14:paraId="14737F2A" w14:textId="03243B29" w:rsidR="004330EB" w:rsidRPr="00A54622" w:rsidRDefault="004330EB" w:rsidP="00475391">
      <w:pPr>
        <w:tabs>
          <w:tab w:val="left" w:pos="1080"/>
        </w:tabs>
        <w:ind w:left="720" w:right="720"/>
        <w:contextualSpacing/>
        <w:jc w:val="both"/>
        <w:rPr>
          <w:rFonts w:ascii="Bookman Old Style" w:hAnsi="Bookman Old Style"/>
        </w:rPr>
      </w:pPr>
      <w:r w:rsidRPr="00A54622">
        <w:rPr>
          <w:rFonts w:ascii="Bookman Old Style" w:hAnsi="Bookman Old Style"/>
        </w:rPr>
        <w:t xml:space="preserve">7. </w:t>
      </w:r>
      <w:r w:rsidR="00475391" w:rsidRPr="00A54622">
        <w:rPr>
          <w:rFonts w:ascii="Bookman Old Style" w:hAnsi="Bookman Old Style"/>
        </w:rPr>
        <w:tab/>
      </w:r>
      <w:r w:rsidRPr="00A54622">
        <w:rPr>
          <w:rFonts w:ascii="Bookman Old Style" w:hAnsi="Bookman Old Style"/>
        </w:rPr>
        <w:t xml:space="preserve">En la asamblea se discutió la contratación de la Sra. Olga </w:t>
      </w:r>
      <w:proofErr w:type="spellStart"/>
      <w:r w:rsidRPr="00A54622">
        <w:rPr>
          <w:rFonts w:ascii="Bookman Old Style" w:hAnsi="Bookman Old Style"/>
        </w:rPr>
        <w:t>Ruberté</w:t>
      </w:r>
      <w:proofErr w:type="spellEnd"/>
      <w:r w:rsidRPr="00A54622">
        <w:rPr>
          <w:rFonts w:ascii="Bookman Old Style" w:hAnsi="Bookman Old Style"/>
        </w:rPr>
        <w:t xml:space="preserve"> para la administración y el Sr. Jaime Negrón para la contabilidad, y la terminación de los servicios del Sr. José Mateo. Se aprobó la contratación de Olga </w:t>
      </w:r>
      <w:proofErr w:type="spellStart"/>
      <w:r w:rsidRPr="00A54622">
        <w:rPr>
          <w:rFonts w:ascii="Bookman Old Style" w:hAnsi="Bookman Old Style"/>
        </w:rPr>
        <w:t>Ruberté</w:t>
      </w:r>
      <w:proofErr w:type="spellEnd"/>
      <w:r w:rsidRPr="00A54622">
        <w:rPr>
          <w:rFonts w:ascii="Bookman Old Style" w:hAnsi="Bookman Old Style"/>
        </w:rPr>
        <w:t xml:space="preserve"> como agente administrador.</w:t>
      </w:r>
    </w:p>
    <w:p w14:paraId="379E7FB1" w14:textId="77777777" w:rsidR="004330EB" w:rsidRPr="00A54622" w:rsidRDefault="004330EB" w:rsidP="00475391">
      <w:pPr>
        <w:tabs>
          <w:tab w:val="left" w:pos="1080"/>
        </w:tabs>
        <w:ind w:left="720" w:right="720"/>
        <w:contextualSpacing/>
        <w:jc w:val="both"/>
        <w:rPr>
          <w:rFonts w:ascii="Bookman Old Style" w:hAnsi="Bookman Old Style"/>
        </w:rPr>
      </w:pPr>
    </w:p>
    <w:p w14:paraId="1102DCFF" w14:textId="798ED2FA" w:rsidR="004330EB" w:rsidRPr="00A54622" w:rsidRDefault="004330EB" w:rsidP="00475391">
      <w:pPr>
        <w:tabs>
          <w:tab w:val="left" w:pos="1080"/>
        </w:tabs>
        <w:ind w:left="720" w:right="720"/>
        <w:contextualSpacing/>
        <w:jc w:val="both"/>
        <w:rPr>
          <w:rFonts w:ascii="Bookman Old Style" w:hAnsi="Bookman Old Style"/>
        </w:rPr>
      </w:pPr>
      <w:r w:rsidRPr="00A54622">
        <w:rPr>
          <w:rFonts w:ascii="Bookman Old Style" w:hAnsi="Bookman Old Style"/>
        </w:rPr>
        <w:t>8.</w:t>
      </w:r>
      <w:r w:rsidR="00475391" w:rsidRPr="00A54622">
        <w:rPr>
          <w:rFonts w:ascii="Bookman Old Style" w:hAnsi="Bookman Old Style"/>
        </w:rPr>
        <w:tab/>
      </w:r>
      <w:r w:rsidRPr="00A54622">
        <w:rPr>
          <w:rFonts w:ascii="Bookman Old Style" w:hAnsi="Bookman Old Style"/>
        </w:rPr>
        <w:t>Los acuerdos de esta asamblea no fueron impugnados por ningún titular por lo que son finales y firmes.</w:t>
      </w:r>
      <w:r w:rsidR="00182886" w:rsidRPr="00A54622">
        <w:rPr>
          <w:rStyle w:val="FootnoteReference"/>
          <w:rFonts w:ascii="Bookman Old Style" w:hAnsi="Bookman Old Style"/>
        </w:rPr>
        <w:footnoteReference w:id="15"/>
      </w:r>
    </w:p>
    <w:p w14:paraId="38BBE831" w14:textId="77777777" w:rsidR="00BD43A8" w:rsidRPr="00A54622" w:rsidRDefault="00BD43A8" w:rsidP="004330EB">
      <w:pPr>
        <w:ind w:left="720" w:right="720"/>
        <w:contextualSpacing/>
        <w:jc w:val="both"/>
        <w:rPr>
          <w:rFonts w:ascii="Bookman Old Style" w:hAnsi="Bookman Old Style"/>
        </w:rPr>
      </w:pPr>
    </w:p>
    <w:p w14:paraId="0E195FE9" w14:textId="738AE027" w:rsidR="00587C76" w:rsidRPr="00A54622" w:rsidRDefault="00BD43A8" w:rsidP="00EC5538">
      <w:pPr>
        <w:spacing w:line="480" w:lineRule="auto"/>
        <w:ind w:firstLine="720"/>
        <w:contextualSpacing/>
        <w:jc w:val="both"/>
        <w:rPr>
          <w:rFonts w:ascii="Bookman Old Style" w:hAnsi="Bookman Old Style" w:cs="Arial"/>
        </w:rPr>
      </w:pPr>
      <w:r w:rsidRPr="00A54622">
        <w:rPr>
          <w:rFonts w:ascii="Bookman Old Style" w:hAnsi="Bookman Old Style" w:cs="Arial"/>
          <w:lang w:val="es-MX"/>
        </w:rPr>
        <w:t xml:space="preserve">El foro de origen </w:t>
      </w:r>
      <w:r w:rsidR="00550CB7" w:rsidRPr="00A54622">
        <w:rPr>
          <w:rFonts w:ascii="Bookman Old Style" w:hAnsi="Bookman Old Style" w:cs="Arial"/>
          <w:lang w:val="es-MX"/>
        </w:rPr>
        <w:t>concluyó</w:t>
      </w:r>
      <w:r w:rsidR="00550CB7" w:rsidRPr="00A54622">
        <w:rPr>
          <w:rFonts w:ascii="Bookman Old Style" w:hAnsi="Bookman Old Style" w:cs="Arial"/>
        </w:rPr>
        <w:t xml:space="preserve"> que</w:t>
      </w:r>
      <w:r w:rsidR="00985D22" w:rsidRPr="00A54622">
        <w:rPr>
          <w:rFonts w:ascii="Bookman Old Style" w:hAnsi="Bookman Old Style" w:cs="Arial"/>
        </w:rPr>
        <w:t xml:space="preserve">, debido a que </w:t>
      </w:r>
      <w:r w:rsidR="00B2543C" w:rsidRPr="00A54622">
        <w:rPr>
          <w:rFonts w:ascii="Bookman Old Style" w:hAnsi="Bookman Old Style" w:cs="Arial"/>
        </w:rPr>
        <w:t>el reglamento del Condominio Caribe Golf Villas</w:t>
      </w:r>
      <w:r w:rsidR="00E96420" w:rsidRPr="00A54622">
        <w:rPr>
          <w:rFonts w:ascii="Bookman Old Style" w:hAnsi="Bookman Old Style" w:cs="Arial"/>
        </w:rPr>
        <w:t xml:space="preserve"> </w:t>
      </w:r>
      <w:r w:rsidR="00F2726F" w:rsidRPr="00A54622">
        <w:rPr>
          <w:rFonts w:ascii="Bookman Old Style" w:hAnsi="Bookman Old Style" w:cs="Arial"/>
        </w:rPr>
        <w:t>no establecía</w:t>
      </w:r>
      <w:r w:rsidR="00E96420" w:rsidRPr="00A54622">
        <w:rPr>
          <w:rFonts w:ascii="Bookman Old Style" w:hAnsi="Bookman Old Style" w:cs="Arial"/>
        </w:rPr>
        <w:t xml:space="preserve"> término para el </w:t>
      </w:r>
      <w:r w:rsidR="002B222B" w:rsidRPr="00A54622">
        <w:rPr>
          <w:rFonts w:ascii="Bookman Old Style" w:hAnsi="Bookman Old Style" w:cs="Arial"/>
        </w:rPr>
        <w:t>nombramiento de</w:t>
      </w:r>
      <w:r w:rsidR="00C770D5" w:rsidRPr="00A54622">
        <w:rPr>
          <w:rFonts w:ascii="Bookman Old Style" w:hAnsi="Bookman Old Style" w:cs="Arial"/>
        </w:rPr>
        <w:t>l</w:t>
      </w:r>
      <w:r w:rsidR="002B222B" w:rsidRPr="00A54622">
        <w:rPr>
          <w:rFonts w:ascii="Bookman Old Style" w:hAnsi="Bookman Old Style" w:cs="Arial"/>
        </w:rPr>
        <w:t xml:space="preserve"> </w:t>
      </w:r>
      <w:r w:rsidR="00E96420" w:rsidRPr="00A54622">
        <w:rPr>
          <w:rFonts w:ascii="Bookman Old Style" w:hAnsi="Bookman Old Style" w:cs="Arial"/>
        </w:rPr>
        <w:t>agente administrador, conforme</w:t>
      </w:r>
      <w:r w:rsidR="000547C3" w:rsidRPr="00A54622">
        <w:rPr>
          <w:rFonts w:ascii="Bookman Old Style" w:hAnsi="Bookman Old Style" w:cs="Arial"/>
        </w:rPr>
        <w:t xml:space="preserve"> a</w:t>
      </w:r>
      <w:r w:rsidR="00E96420" w:rsidRPr="00A54622">
        <w:rPr>
          <w:rFonts w:ascii="Bookman Old Style" w:hAnsi="Bookman Old Style" w:cs="Arial"/>
        </w:rPr>
        <w:t xml:space="preserve"> </w:t>
      </w:r>
      <w:r w:rsidR="00560543" w:rsidRPr="00A54622">
        <w:rPr>
          <w:rFonts w:ascii="Bookman Old Style" w:hAnsi="Bookman Old Style" w:cs="Arial"/>
        </w:rPr>
        <w:t xml:space="preserve">la </w:t>
      </w:r>
      <w:r w:rsidR="00560543" w:rsidRPr="00A54622">
        <w:rPr>
          <w:rFonts w:ascii="Bookman Old Style" w:hAnsi="Bookman Old Style" w:cs="Arial"/>
          <w:i/>
          <w:iCs/>
        </w:rPr>
        <w:t>Ley de Condominios de Puerto Rico</w:t>
      </w:r>
      <w:r w:rsidR="00560543" w:rsidRPr="00A54622">
        <w:rPr>
          <w:rFonts w:ascii="Bookman Old Style" w:hAnsi="Bookman Old Style" w:cs="Arial"/>
        </w:rPr>
        <w:t>,</w:t>
      </w:r>
      <w:r w:rsidR="00C770D5" w:rsidRPr="00A54622">
        <w:rPr>
          <w:rFonts w:ascii="Bookman Old Style" w:hAnsi="Bookman Old Style" w:cs="Arial"/>
        </w:rPr>
        <w:t xml:space="preserve"> supra,</w:t>
      </w:r>
      <w:r w:rsidR="00560543" w:rsidRPr="00A54622">
        <w:rPr>
          <w:rFonts w:ascii="Bookman Old Style" w:hAnsi="Bookman Old Style" w:cs="Arial"/>
        </w:rPr>
        <w:t xml:space="preserve"> el término de nombramiento </w:t>
      </w:r>
      <w:r w:rsidR="00F2726F" w:rsidRPr="00A54622">
        <w:rPr>
          <w:rFonts w:ascii="Bookman Old Style" w:hAnsi="Bookman Old Style" w:cs="Arial"/>
        </w:rPr>
        <w:t xml:space="preserve">para un agente administrador era de un año. </w:t>
      </w:r>
      <w:r w:rsidR="00DA0DB5" w:rsidRPr="00A54622">
        <w:rPr>
          <w:rFonts w:ascii="Bookman Old Style" w:hAnsi="Bookman Old Style" w:cs="Arial"/>
        </w:rPr>
        <w:t xml:space="preserve">Razonó </w:t>
      </w:r>
      <w:r w:rsidR="001B44C0" w:rsidRPr="00A54622">
        <w:rPr>
          <w:rFonts w:ascii="Bookman Old Style" w:hAnsi="Bookman Old Style" w:cs="Arial"/>
        </w:rPr>
        <w:t>que,</w:t>
      </w:r>
      <w:r w:rsidR="00DA0DB5" w:rsidRPr="00A54622">
        <w:rPr>
          <w:rFonts w:ascii="Bookman Old Style" w:hAnsi="Bookman Old Style" w:cs="Arial"/>
        </w:rPr>
        <w:t xml:space="preserve"> a la luz de los hechos de este caso, el</w:t>
      </w:r>
      <w:r w:rsidR="00226F08" w:rsidRPr="00A54622">
        <w:rPr>
          <w:rFonts w:ascii="Bookman Old Style" w:hAnsi="Bookman Old Style" w:cs="Arial"/>
        </w:rPr>
        <w:t xml:space="preserve"> contrato prorrogado de Mateo Rivera como agente </w:t>
      </w:r>
      <w:r w:rsidR="00046CB1" w:rsidRPr="00A54622">
        <w:rPr>
          <w:rFonts w:ascii="Bookman Old Style" w:hAnsi="Bookman Old Style" w:cs="Arial"/>
        </w:rPr>
        <w:t>administrador del condominio vencía el 17 de agosto de 2021</w:t>
      </w:r>
      <w:r w:rsidR="000547C3" w:rsidRPr="00A54622">
        <w:rPr>
          <w:rFonts w:ascii="Bookman Old Style" w:hAnsi="Bookman Old Style" w:cs="Arial"/>
        </w:rPr>
        <w:t>,</w:t>
      </w:r>
      <w:r w:rsidR="001B44C0" w:rsidRPr="00A54622">
        <w:rPr>
          <w:rFonts w:ascii="Bookman Old Style" w:hAnsi="Bookman Old Style" w:cs="Arial"/>
        </w:rPr>
        <w:t xml:space="preserve"> pues su nombramiento </w:t>
      </w:r>
      <w:r w:rsidR="00D236EA" w:rsidRPr="00A54622">
        <w:rPr>
          <w:rFonts w:ascii="Bookman Old Style" w:hAnsi="Bookman Old Style" w:cs="Arial"/>
        </w:rPr>
        <w:t>fue realizado mediante asamblea celebrada el 18 de agosto de 2015</w:t>
      </w:r>
      <w:r w:rsidR="009B7187" w:rsidRPr="00A54622">
        <w:rPr>
          <w:rFonts w:ascii="Bookman Old Style" w:hAnsi="Bookman Old Style" w:cs="Arial"/>
        </w:rPr>
        <w:t>.</w:t>
      </w:r>
      <w:r w:rsidR="00E249FE" w:rsidRPr="00A54622">
        <w:rPr>
          <w:rFonts w:ascii="Bookman Old Style" w:hAnsi="Bookman Old Style" w:cs="Arial"/>
        </w:rPr>
        <w:t xml:space="preserve"> </w:t>
      </w:r>
    </w:p>
    <w:p w14:paraId="71F409D2" w14:textId="1695A676" w:rsidR="001B62D2" w:rsidRPr="00A54622" w:rsidRDefault="001B62D2" w:rsidP="0021012B">
      <w:pPr>
        <w:spacing w:line="480" w:lineRule="auto"/>
        <w:ind w:firstLine="720"/>
        <w:contextualSpacing/>
        <w:jc w:val="both"/>
        <w:rPr>
          <w:rStyle w:val="eop"/>
          <w:rFonts w:ascii="Bookman Old Style" w:hAnsi="Bookman Old Style"/>
          <w:shd w:val="clear" w:color="auto" w:fill="FFFFFF"/>
        </w:rPr>
      </w:pPr>
      <w:r w:rsidRPr="00A54622">
        <w:rPr>
          <w:rStyle w:val="normaltextrun"/>
          <w:rFonts w:ascii="Bookman Old Style" w:hAnsi="Bookman Old Style"/>
          <w:shd w:val="clear" w:color="auto" w:fill="FFFFFF"/>
        </w:rPr>
        <w:t>De la misma forma, el foro de instancia resolvió que</w:t>
      </w:r>
      <w:r w:rsidR="000547C3" w:rsidRPr="00A54622">
        <w:rPr>
          <w:rStyle w:val="normaltextrun"/>
          <w:rFonts w:ascii="Bookman Old Style" w:hAnsi="Bookman Old Style"/>
          <w:shd w:val="clear" w:color="auto" w:fill="FFFFFF"/>
        </w:rPr>
        <w:t>,</w:t>
      </w:r>
      <w:r w:rsidRPr="00A54622">
        <w:rPr>
          <w:rStyle w:val="normaltextrun"/>
          <w:rFonts w:ascii="Bookman Old Style" w:hAnsi="Bookman Old Style"/>
          <w:shd w:val="clear" w:color="auto" w:fill="FFFFFF"/>
        </w:rPr>
        <w:t xml:space="preserve"> conforme </w:t>
      </w:r>
      <w:r w:rsidR="004D2698" w:rsidRPr="00A54622">
        <w:rPr>
          <w:rStyle w:val="normaltextrun"/>
          <w:rFonts w:ascii="Bookman Old Style" w:hAnsi="Bookman Old Style"/>
          <w:shd w:val="clear" w:color="auto" w:fill="FFFFFF"/>
        </w:rPr>
        <w:t>a</w:t>
      </w:r>
      <w:r w:rsidRPr="00A54622">
        <w:rPr>
          <w:rStyle w:val="normaltextrun"/>
          <w:rFonts w:ascii="Bookman Old Style" w:hAnsi="Bookman Old Style"/>
          <w:shd w:val="clear" w:color="auto" w:fill="FFFFFF"/>
        </w:rPr>
        <w:t xml:space="preserve"> la carta emitida por la Junta de Titulares a Mateo Rivera el 2 de agosto de 2021, se le notificó de la decisión de no renovar su contrato de agente administrador previo a su vencimiento el 17 de agosto de 2021, extendiendo su vigencia hasta el 31 de agosto de 2021. El foro </w:t>
      </w:r>
      <w:r w:rsidRPr="00A54622">
        <w:rPr>
          <w:rStyle w:val="normaltextrun"/>
          <w:rFonts w:ascii="Bookman Old Style" w:hAnsi="Bookman Old Style"/>
          <w:i/>
          <w:iCs/>
          <w:shd w:val="clear" w:color="auto" w:fill="FFFFFF"/>
        </w:rPr>
        <w:t>a quo</w:t>
      </w:r>
      <w:r w:rsidRPr="00A54622">
        <w:rPr>
          <w:rStyle w:val="normaltextrun"/>
          <w:rFonts w:ascii="Bookman Old Style" w:hAnsi="Bookman Old Style"/>
          <w:shd w:val="clear" w:color="auto" w:fill="FFFFFF"/>
        </w:rPr>
        <w:t xml:space="preserve"> concluyó que</w:t>
      </w:r>
      <w:r w:rsidR="004D2698" w:rsidRPr="00A54622">
        <w:rPr>
          <w:rStyle w:val="normaltextrun"/>
          <w:rFonts w:ascii="Bookman Old Style" w:hAnsi="Bookman Old Style"/>
          <w:shd w:val="clear" w:color="auto" w:fill="FFFFFF"/>
        </w:rPr>
        <w:t>,</w:t>
      </w:r>
      <w:r w:rsidRPr="00A54622">
        <w:rPr>
          <w:rStyle w:val="normaltextrun"/>
          <w:rFonts w:ascii="Bookman Old Style" w:hAnsi="Bookman Old Style"/>
          <w:shd w:val="clear" w:color="auto" w:fill="FFFFFF"/>
        </w:rPr>
        <w:t xml:space="preserve"> a raíz de la asamblea extraordinaria celebrada el 17 de septiembre de 2021, el asunto de la cancelación del contrato de Mateo Rivera fue discutido y la confirmación de Olga </w:t>
      </w:r>
      <w:proofErr w:type="spellStart"/>
      <w:r w:rsidRPr="00A54622">
        <w:rPr>
          <w:rStyle w:val="normaltextrun"/>
          <w:rFonts w:ascii="Bookman Old Style" w:hAnsi="Bookman Old Style"/>
          <w:shd w:val="clear" w:color="auto" w:fill="FFFFFF"/>
        </w:rPr>
        <w:t>Ruberté</w:t>
      </w:r>
      <w:proofErr w:type="spellEnd"/>
      <w:r w:rsidRPr="00A54622">
        <w:rPr>
          <w:rStyle w:val="normaltextrun"/>
          <w:rFonts w:ascii="Bookman Old Style" w:hAnsi="Bookman Old Style"/>
          <w:shd w:val="clear" w:color="auto" w:fill="FFFFFF"/>
        </w:rPr>
        <w:t xml:space="preserve"> como agente administradora fue aprobado por la mayoría, por lo que la decisión del Consejo de Titulares de no continuar con el contrato de Mateo Rivera fue confirmada por estos. El Tribunal de Primera Instancia razonó que, si bien en el acta de la asamblea extraordinaria no se particularizó el contenido de la cancelación del contrato de Mateo Rivera, se debía tomar en cuenta que un acta no era una transcripción de lo discutido en una asamblea, si no un resumen de los asuntos atendidos. </w:t>
      </w:r>
      <w:r w:rsidRPr="00A54622">
        <w:rPr>
          <w:rStyle w:val="eop"/>
          <w:rFonts w:ascii="Bookman Old Style" w:hAnsi="Bookman Old Style"/>
          <w:shd w:val="clear" w:color="auto" w:fill="FFFFFF"/>
        </w:rPr>
        <w:t> </w:t>
      </w:r>
    </w:p>
    <w:p w14:paraId="0F76EF59" w14:textId="30643156" w:rsidR="001B62D2" w:rsidRPr="00A54622" w:rsidRDefault="001B62D2" w:rsidP="001B62D2">
      <w:pPr>
        <w:spacing w:line="480" w:lineRule="auto"/>
        <w:ind w:firstLine="720"/>
        <w:contextualSpacing/>
        <w:jc w:val="both"/>
        <w:rPr>
          <w:rFonts w:ascii="Bookman Old Style" w:hAnsi="Bookman Old Style" w:cs="Arial"/>
        </w:rPr>
      </w:pPr>
      <w:r w:rsidRPr="00A54622">
        <w:rPr>
          <w:rStyle w:val="normaltextrun"/>
          <w:rFonts w:ascii="Bookman Old Style" w:hAnsi="Bookman Old Style"/>
          <w:shd w:val="clear" w:color="auto" w:fill="FFFFFF"/>
        </w:rPr>
        <w:t>Referente a la legitimación activa de Mateo Rivera, el foro de instancia resolvió que este no poseía legitimación para levantar señalamientos sobre la alegada falta de notificación del acta a los titulares, pues Mateo Rivera no es titular en el Condominio Caribe Golf Villas. Finalmente, el foro de origen concluyó que debido a que Mateo Rivera era mandatario del Condominio Caribe Golf Villas y no empleado de este,</w:t>
      </w:r>
      <w:r w:rsidR="00507B1B" w:rsidRPr="00A54622">
        <w:rPr>
          <w:rStyle w:val="normaltextrun"/>
          <w:rFonts w:ascii="Bookman Old Style" w:hAnsi="Bookman Old Style"/>
          <w:shd w:val="clear" w:color="auto" w:fill="FFFFFF"/>
        </w:rPr>
        <w:t xml:space="preserve"> sólo</w:t>
      </w:r>
      <w:r w:rsidRPr="00A54622">
        <w:rPr>
          <w:rStyle w:val="normaltextrun"/>
          <w:rFonts w:ascii="Bookman Old Style" w:hAnsi="Bookman Old Style"/>
          <w:shd w:val="clear" w:color="auto" w:fill="FFFFFF"/>
        </w:rPr>
        <w:t xml:space="preserve"> es acreedor de los pagos</w:t>
      </w:r>
      <w:r w:rsidR="004D2698" w:rsidRPr="00A54622">
        <w:rPr>
          <w:rStyle w:val="normaltextrun"/>
          <w:rFonts w:ascii="Bookman Old Style" w:hAnsi="Bookman Old Style"/>
          <w:shd w:val="clear" w:color="auto" w:fill="FFFFFF"/>
        </w:rPr>
        <w:t>,</w:t>
      </w:r>
      <w:r w:rsidRPr="00A54622">
        <w:rPr>
          <w:rStyle w:val="normaltextrun"/>
          <w:rFonts w:ascii="Bookman Old Style" w:hAnsi="Bookman Old Style"/>
          <w:shd w:val="clear" w:color="auto" w:fill="FFFFFF"/>
        </w:rPr>
        <w:t xml:space="preserve"> según pactados en el contrato entre las partes</w:t>
      </w:r>
      <w:r w:rsidR="00B36ABF" w:rsidRPr="00A54622">
        <w:rPr>
          <w:rStyle w:val="normaltextrun"/>
          <w:rFonts w:ascii="Bookman Old Style" w:hAnsi="Bookman Old Style"/>
          <w:shd w:val="clear" w:color="auto" w:fill="FFFFFF"/>
        </w:rPr>
        <w:t xml:space="preserve">. Dado a que no existe reclamo alguno de pagos al amparo del contrato como administrador del </w:t>
      </w:r>
      <w:proofErr w:type="gramStart"/>
      <w:r w:rsidR="00B36ABF" w:rsidRPr="00A54622">
        <w:rPr>
          <w:rStyle w:val="normaltextrun"/>
          <w:rFonts w:ascii="Bookman Old Style" w:hAnsi="Bookman Old Style"/>
          <w:shd w:val="clear" w:color="auto" w:fill="FFFFFF"/>
        </w:rPr>
        <w:t xml:space="preserve">Condominio, </w:t>
      </w:r>
      <w:r w:rsidRPr="00A54622">
        <w:rPr>
          <w:rStyle w:val="normaltextrun"/>
          <w:rFonts w:ascii="Bookman Old Style" w:hAnsi="Bookman Old Style"/>
          <w:shd w:val="clear" w:color="auto" w:fill="FFFFFF"/>
        </w:rPr>
        <w:t xml:space="preserve"> eran</w:t>
      </w:r>
      <w:proofErr w:type="gramEnd"/>
      <w:r w:rsidRPr="00A54622">
        <w:rPr>
          <w:rStyle w:val="normaltextrun"/>
          <w:rFonts w:ascii="Bookman Old Style" w:hAnsi="Bookman Old Style"/>
          <w:shd w:val="clear" w:color="auto" w:fill="FFFFFF"/>
        </w:rPr>
        <w:t xml:space="preserve"> improcedentes las solicitudes de remedio promovidas por este en su </w:t>
      </w:r>
      <w:r w:rsidRPr="00A54622">
        <w:rPr>
          <w:rStyle w:val="normaltextrun"/>
          <w:rFonts w:ascii="Bookman Old Style" w:hAnsi="Bookman Old Style"/>
          <w:i/>
          <w:iCs/>
          <w:shd w:val="clear" w:color="auto" w:fill="FFFFFF"/>
        </w:rPr>
        <w:t>Demanda Enmendada</w:t>
      </w:r>
      <w:r w:rsidRPr="00A54622">
        <w:rPr>
          <w:rStyle w:val="normaltextrun"/>
          <w:rFonts w:ascii="Bookman Old Style" w:hAnsi="Bookman Old Style"/>
          <w:shd w:val="clear" w:color="auto" w:fill="FFFFFF"/>
        </w:rPr>
        <w:t>. </w:t>
      </w:r>
      <w:r w:rsidRPr="00A54622">
        <w:rPr>
          <w:rStyle w:val="eop"/>
          <w:rFonts w:ascii="Bookman Old Style" w:hAnsi="Bookman Old Style"/>
          <w:shd w:val="clear" w:color="auto" w:fill="FFFFFF"/>
        </w:rPr>
        <w:t> </w:t>
      </w:r>
      <w:r w:rsidR="00400FF8" w:rsidRPr="00A54622">
        <w:rPr>
          <w:rFonts w:ascii="Bookman Old Style" w:hAnsi="Bookman Old Style" w:cs="Arial"/>
        </w:rPr>
        <w:tab/>
      </w:r>
    </w:p>
    <w:p w14:paraId="18C11F45" w14:textId="6359E3D5" w:rsidR="001B62D2" w:rsidRPr="00A54622" w:rsidRDefault="001B62D2" w:rsidP="009C2A56">
      <w:pPr>
        <w:spacing w:line="480" w:lineRule="auto"/>
        <w:ind w:firstLine="720"/>
        <w:contextualSpacing/>
        <w:jc w:val="both"/>
        <w:rPr>
          <w:rFonts w:ascii="Bookman Old Style" w:hAnsi="Bookman Old Style" w:cs="Arial"/>
        </w:rPr>
      </w:pPr>
      <w:r w:rsidRPr="00A54622">
        <w:rPr>
          <w:rFonts w:ascii="Bookman Old Style" w:hAnsi="Bookman Old Style" w:cs="Arial"/>
        </w:rPr>
        <w:t xml:space="preserve">El 3 de enero de 2025, Mateo Rivera presentó una </w:t>
      </w:r>
      <w:r w:rsidRPr="00A54622">
        <w:rPr>
          <w:rFonts w:ascii="Bookman Old Style" w:hAnsi="Bookman Old Style" w:cs="Arial"/>
          <w:i/>
          <w:iCs/>
        </w:rPr>
        <w:t>Urgente Solicitud de Reconsideración,</w:t>
      </w:r>
      <w:r w:rsidR="002D3E40" w:rsidRPr="00A54622">
        <w:rPr>
          <w:rStyle w:val="FootnoteReference"/>
          <w:rFonts w:ascii="Bookman Old Style" w:hAnsi="Bookman Old Style" w:cs="Arial"/>
        </w:rPr>
        <w:footnoteReference w:id="16"/>
      </w:r>
      <w:r w:rsidRPr="00A54622">
        <w:rPr>
          <w:rFonts w:ascii="Bookman Old Style" w:hAnsi="Bookman Old Style" w:cs="Arial"/>
        </w:rPr>
        <w:t xml:space="preserve"> la cual fue declarada No Ha Lugar por el Tribunal de Primera Instancia mediante una </w:t>
      </w:r>
      <w:r w:rsidRPr="00A54622">
        <w:rPr>
          <w:rFonts w:ascii="Bookman Old Style" w:hAnsi="Bookman Old Style" w:cs="Arial"/>
          <w:i/>
          <w:iCs/>
        </w:rPr>
        <w:t>Resolución Interlocutoria</w:t>
      </w:r>
      <w:r w:rsidRPr="00A54622">
        <w:rPr>
          <w:rFonts w:ascii="Bookman Old Style" w:hAnsi="Bookman Old Style" w:cs="Arial"/>
        </w:rPr>
        <w:t xml:space="preserve"> el 3 de enero de 2025</w:t>
      </w:r>
      <w:r w:rsidR="002D3E40" w:rsidRPr="00A54622">
        <w:rPr>
          <w:rFonts w:ascii="Bookman Old Style" w:hAnsi="Bookman Old Style" w:cs="Arial"/>
        </w:rPr>
        <w:t>, notificada el 8 del mismo mes y año.</w:t>
      </w:r>
      <w:r w:rsidR="002D3E40" w:rsidRPr="00A54622">
        <w:rPr>
          <w:rStyle w:val="FootnoteReference"/>
          <w:rFonts w:ascii="Bookman Old Style" w:hAnsi="Bookman Old Style" w:cs="Arial"/>
        </w:rPr>
        <w:footnoteReference w:id="17"/>
      </w:r>
      <w:r w:rsidRPr="00A54622">
        <w:rPr>
          <w:rFonts w:ascii="Bookman Old Style" w:hAnsi="Bookman Old Style" w:cs="Arial"/>
        </w:rPr>
        <w:t> </w:t>
      </w:r>
    </w:p>
    <w:p w14:paraId="42DF6F04" w14:textId="18FC0E66" w:rsidR="009C2A56" w:rsidRPr="00A54622" w:rsidRDefault="00DF44E6" w:rsidP="009C2A56">
      <w:pPr>
        <w:spacing w:line="480" w:lineRule="auto"/>
        <w:ind w:firstLine="720"/>
        <w:contextualSpacing/>
        <w:jc w:val="both"/>
        <w:rPr>
          <w:rFonts w:ascii="Bookman Old Style" w:hAnsi="Bookman Old Style" w:cs="Arial"/>
          <w:lang w:eastAsia="es-PR"/>
        </w:rPr>
      </w:pPr>
      <w:r w:rsidRPr="00A54622">
        <w:rPr>
          <w:rFonts w:ascii="Bookman Old Style" w:hAnsi="Bookman Old Style" w:cs="Arial"/>
          <w:lang w:val="es-MX"/>
        </w:rPr>
        <w:t xml:space="preserve">Inconforme, el </w:t>
      </w:r>
      <w:r w:rsidR="009C2A56" w:rsidRPr="00A54622">
        <w:rPr>
          <w:rFonts w:ascii="Bookman Old Style" w:hAnsi="Bookman Old Style" w:cs="Arial"/>
          <w:lang w:val="es-MX"/>
        </w:rPr>
        <w:t>5 de febrero de 2025</w:t>
      </w:r>
      <w:r w:rsidRPr="00A54622">
        <w:rPr>
          <w:rFonts w:ascii="Bookman Old Style" w:hAnsi="Bookman Old Style" w:cs="Arial"/>
          <w:lang w:val="es-MX"/>
        </w:rPr>
        <w:t xml:space="preserve">, </w:t>
      </w:r>
      <w:r w:rsidRPr="00A54622">
        <w:rPr>
          <w:rFonts w:ascii="Bookman Old Style" w:hAnsi="Bookman Old Style" w:cs="Arial"/>
          <w:lang w:eastAsia="es-PR"/>
        </w:rPr>
        <w:t xml:space="preserve">la parte apelante acudió ante esta Curia mediante el recurso de epígrafe y señaló </w:t>
      </w:r>
      <w:r w:rsidR="009C2A56" w:rsidRPr="00A54622">
        <w:rPr>
          <w:rFonts w:ascii="Bookman Old Style" w:hAnsi="Bookman Old Style" w:cs="Arial"/>
          <w:lang w:eastAsia="es-PR"/>
        </w:rPr>
        <w:t>la comisión del siguiente error:</w:t>
      </w:r>
    </w:p>
    <w:p w14:paraId="26A4C24A" w14:textId="13AB151E" w:rsidR="0047035A" w:rsidRPr="00A54622" w:rsidRDefault="0047035A" w:rsidP="009C2A56">
      <w:pPr>
        <w:ind w:left="720" w:right="720"/>
        <w:contextualSpacing/>
        <w:jc w:val="both"/>
        <w:rPr>
          <w:rFonts w:ascii="Bookman Old Style" w:hAnsi="Bookman Old Style" w:cs="Arial"/>
        </w:rPr>
      </w:pPr>
      <w:r w:rsidRPr="00A54622">
        <w:rPr>
          <w:rFonts w:ascii="Bookman Old Style" w:hAnsi="Bookman Old Style" w:cs="Arial"/>
        </w:rPr>
        <w:t>Incidió de forma manifiesta el Tribunal de Primera Instancia como cuestión de hecho y de derecho, al desestimar la demanda por la vía sumaria.</w:t>
      </w:r>
    </w:p>
    <w:p w14:paraId="2555E18A" w14:textId="77777777" w:rsidR="003200F4" w:rsidRPr="00A54622" w:rsidRDefault="003200F4" w:rsidP="009C2A56">
      <w:pPr>
        <w:ind w:left="720" w:right="720"/>
        <w:contextualSpacing/>
        <w:jc w:val="both"/>
        <w:rPr>
          <w:rFonts w:ascii="Bookman Old Style" w:hAnsi="Bookman Old Style" w:cs="Arial"/>
          <w:lang w:eastAsia="es-PR"/>
        </w:rPr>
      </w:pPr>
    </w:p>
    <w:p w14:paraId="5A40E74F" w14:textId="7EFC96F3" w:rsidR="003200F4" w:rsidRPr="00A54622" w:rsidRDefault="003200F4" w:rsidP="003200F4">
      <w:pPr>
        <w:spacing w:line="480" w:lineRule="auto"/>
        <w:ind w:firstLine="720"/>
        <w:contextualSpacing/>
        <w:jc w:val="both"/>
        <w:rPr>
          <w:rFonts w:ascii="Bookman Old Style" w:hAnsi="Bookman Old Style" w:cs="Arial"/>
          <w:lang w:eastAsia="es-PR"/>
        </w:rPr>
      </w:pPr>
      <w:r w:rsidRPr="00A54622">
        <w:rPr>
          <w:rFonts w:ascii="Bookman Old Style" w:hAnsi="Bookman Old Style" w:cs="Arial"/>
          <w:lang w:eastAsia="es-PR"/>
        </w:rPr>
        <w:t xml:space="preserve">En cumplimiento con nuestras </w:t>
      </w:r>
      <w:r w:rsidRPr="00A54622">
        <w:rPr>
          <w:rFonts w:ascii="Bookman Old Style" w:hAnsi="Bookman Old Style" w:cs="Arial"/>
          <w:i/>
          <w:iCs/>
          <w:lang w:eastAsia="es-PR"/>
        </w:rPr>
        <w:t>Resoluciones</w:t>
      </w:r>
      <w:r w:rsidRPr="00A54622">
        <w:rPr>
          <w:rFonts w:ascii="Bookman Old Style" w:hAnsi="Bookman Old Style" w:cs="Arial"/>
          <w:lang w:eastAsia="es-PR"/>
        </w:rPr>
        <w:t xml:space="preserve"> del </w:t>
      </w:r>
      <w:r w:rsidR="00E37DB5" w:rsidRPr="00A54622">
        <w:rPr>
          <w:rFonts w:ascii="Bookman Old Style" w:hAnsi="Bookman Old Style" w:cs="Arial"/>
          <w:lang w:eastAsia="es-PR"/>
        </w:rPr>
        <w:t>10 de febrero de 2025</w:t>
      </w:r>
      <w:r w:rsidRPr="00A54622">
        <w:rPr>
          <w:rFonts w:ascii="Bookman Old Style" w:hAnsi="Bookman Old Style" w:cs="Arial"/>
          <w:lang w:eastAsia="es-PR"/>
        </w:rPr>
        <w:t xml:space="preserve"> y el </w:t>
      </w:r>
      <w:r w:rsidR="00E37DB5" w:rsidRPr="00A54622">
        <w:rPr>
          <w:rFonts w:ascii="Bookman Old Style" w:hAnsi="Bookman Old Style" w:cs="Arial"/>
          <w:lang w:eastAsia="es-PR"/>
        </w:rPr>
        <w:t>7 de marzo</w:t>
      </w:r>
      <w:r w:rsidRPr="00A54622">
        <w:rPr>
          <w:rFonts w:ascii="Bookman Old Style" w:hAnsi="Bookman Old Style" w:cs="Arial"/>
          <w:lang w:eastAsia="es-PR"/>
        </w:rPr>
        <w:t xml:space="preserve"> del mismo año, y luego de una prórroga a esos efectos, la parte apelada compareció mediante </w:t>
      </w:r>
      <w:r w:rsidRPr="00A54622">
        <w:rPr>
          <w:rFonts w:ascii="Bookman Old Style" w:hAnsi="Bookman Old Style" w:cs="Arial"/>
          <w:i/>
          <w:iCs/>
          <w:lang w:eastAsia="es-PR"/>
        </w:rPr>
        <w:t xml:space="preserve">Alegato de la Parte </w:t>
      </w:r>
      <w:r w:rsidR="008C053F" w:rsidRPr="00A54622">
        <w:rPr>
          <w:rFonts w:ascii="Bookman Old Style" w:hAnsi="Bookman Old Style" w:cs="Arial"/>
          <w:i/>
          <w:iCs/>
          <w:lang w:eastAsia="es-PR"/>
        </w:rPr>
        <w:t xml:space="preserve">Recurrida </w:t>
      </w:r>
      <w:r w:rsidRPr="00A54622">
        <w:rPr>
          <w:rFonts w:ascii="Bookman Old Style" w:hAnsi="Bookman Old Style" w:cs="Arial"/>
          <w:lang w:eastAsia="es-PR"/>
        </w:rPr>
        <w:t xml:space="preserve">el </w:t>
      </w:r>
      <w:r w:rsidR="00E12D6F" w:rsidRPr="00A54622">
        <w:rPr>
          <w:rFonts w:ascii="Bookman Old Style" w:hAnsi="Bookman Old Style" w:cs="Arial"/>
          <w:lang w:eastAsia="es-PR"/>
        </w:rPr>
        <w:t xml:space="preserve">28 de marzo </w:t>
      </w:r>
      <w:r w:rsidRPr="00A54622">
        <w:rPr>
          <w:rFonts w:ascii="Bookman Old Style" w:hAnsi="Bookman Old Style" w:cs="Arial"/>
          <w:lang w:eastAsia="es-PR"/>
        </w:rPr>
        <w:t xml:space="preserve">de 2025. </w:t>
      </w:r>
    </w:p>
    <w:p w14:paraId="3B37DF7D" w14:textId="524767C1" w:rsidR="008C053F" w:rsidRPr="00A54622" w:rsidRDefault="00E213CD" w:rsidP="003200F4">
      <w:pPr>
        <w:spacing w:line="480" w:lineRule="auto"/>
        <w:ind w:firstLine="720"/>
        <w:contextualSpacing/>
        <w:jc w:val="both"/>
        <w:rPr>
          <w:rFonts w:ascii="Bookman Old Style" w:hAnsi="Bookman Old Style" w:cs="Arial"/>
        </w:rPr>
      </w:pPr>
      <w:r w:rsidRPr="00A54622">
        <w:rPr>
          <w:rFonts w:ascii="Bookman Old Style" w:hAnsi="Bookman Old Style" w:cs="Arial"/>
        </w:rPr>
        <w:t>Con el beneficio de la comparecencia de las partes, procedemos a resolver.</w:t>
      </w:r>
    </w:p>
    <w:p w14:paraId="18643394" w14:textId="1A1E52E0" w:rsidR="00E213CD" w:rsidRPr="00A54622" w:rsidRDefault="00E213CD" w:rsidP="004D2698">
      <w:pPr>
        <w:spacing w:line="480" w:lineRule="auto"/>
        <w:contextualSpacing/>
        <w:jc w:val="center"/>
        <w:rPr>
          <w:rFonts w:ascii="Bookman Old Style" w:hAnsi="Bookman Old Style" w:cs="Arial"/>
          <w:b/>
          <w:bCs/>
        </w:rPr>
      </w:pPr>
      <w:r w:rsidRPr="00A54622">
        <w:rPr>
          <w:rFonts w:ascii="Bookman Old Style" w:hAnsi="Bookman Old Style" w:cs="Arial"/>
          <w:b/>
          <w:bCs/>
        </w:rPr>
        <w:t>II</w:t>
      </w:r>
    </w:p>
    <w:p w14:paraId="505990BF" w14:textId="185E1440" w:rsidR="003F4A31" w:rsidRPr="00A54622" w:rsidRDefault="003F4A31" w:rsidP="004D2698">
      <w:pPr>
        <w:spacing w:line="480" w:lineRule="auto"/>
        <w:contextualSpacing/>
        <w:jc w:val="center"/>
        <w:rPr>
          <w:rFonts w:ascii="Bookman Old Style" w:hAnsi="Bookman Old Style" w:cs="Arial"/>
          <w:b/>
          <w:bCs/>
        </w:rPr>
      </w:pPr>
      <w:r w:rsidRPr="00A54622">
        <w:rPr>
          <w:rFonts w:ascii="Bookman Old Style" w:hAnsi="Bookman Old Style" w:cs="Arial"/>
          <w:b/>
          <w:bCs/>
        </w:rPr>
        <w:t>A</w:t>
      </w:r>
    </w:p>
    <w:p w14:paraId="6CD1D724" w14:textId="77777777" w:rsidR="00D040B0" w:rsidRPr="00A54622" w:rsidRDefault="00D040B0" w:rsidP="00D040B0">
      <w:pPr>
        <w:spacing w:line="480" w:lineRule="auto"/>
        <w:ind w:firstLine="720"/>
        <w:contextualSpacing/>
        <w:jc w:val="both"/>
        <w:rPr>
          <w:rFonts w:ascii="Bookman Old Style" w:hAnsi="Bookman Old Style" w:cs="Arial"/>
        </w:rPr>
      </w:pPr>
      <w:r w:rsidRPr="00A54622">
        <w:rPr>
          <w:rFonts w:ascii="Bookman Old Style" w:hAnsi="Bookman Old Style" w:cs="Arial"/>
        </w:rPr>
        <w:t xml:space="preserve">El mecanismo de sentencia sumaria provisto en la Regla 36 de Procedimiento Civil de 2009, 32 LPRA Ap. V, R. 36, es un vehículo para asegurar la solución justa, rápida y económica de un caso. </w:t>
      </w:r>
      <w:bookmarkStart w:id="3" w:name="_Hlk144110369"/>
      <w:bookmarkStart w:id="4" w:name="_Hlk142323324"/>
      <w:bookmarkStart w:id="5" w:name="_Hlk140054026"/>
      <w:r w:rsidRPr="00A54622">
        <w:rPr>
          <w:rFonts w:ascii="Bookman Old Style" w:hAnsi="Bookman Old Style" w:cs="Arial"/>
          <w:i/>
          <w:iCs/>
        </w:rPr>
        <w:t xml:space="preserve">Serrano Picón v. </w:t>
      </w:r>
      <w:proofErr w:type="spellStart"/>
      <w:r w:rsidRPr="00A54622">
        <w:rPr>
          <w:rFonts w:ascii="Bookman Old Style" w:hAnsi="Bookman Old Style" w:cs="Arial"/>
          <w:i/>
          <w:iCs/>
        </w:rPr>
        <w:t>Multinational</w:t>
      </w:r>
      <w:proofErr w:type="spellEnd"/>
      <w:r w:rsidRPr="00A54622">
        <w:rPr>
          <w:rFonts w:ascii="Bookman Old Style" w:hAnsi="Bookman Old Style" w:cs="Arial"/>
          <w:i/>
          <w:iCs/>
        </w:rPr>
        <w:t xml:space="preserve"> </w:t>
      </w:r>
      <w:proofErr w:type="spellStart"/>
      <w:r w:rsidRPr="00A54622">
        <w:rPr>
          <w:rFonts w:ascii="Bookman Old Style" w:hAnsi="Bookman Old Style" w:cs="Arial"/>
          <w:i/>
          <w:iCs/>
        </w:rPr>
        <w:t>Life</w:t>
      </w:r>
      <w:proofErr w:type="spellEnd"/>
      <w:r w:rsidRPr="00A54622">
        <w:rPr>
          <w:rFonts w:ascii="Bookman Old Style" w:hAnsi="Bookman Old Style" w:cs="Arial"/>
          <w:i/>
          <w:iCs/>
        </w:rPr>
        <w:t xml:space="preserve"> </w:t>
      </w:r>
      <w:proofErr w:type="spellStart"/>
      <w:r w:rsidRPr="00A54622">
        <w:rPr>
          <w:rFonts w:ascii="Bookman Old Style" w:hAnsi="Bookman Old Style" w:cs="Arial"/>
          <w:i/>
          <w:iCs/>
        </w:rPr>
        <w:t>Ins</w:t>
      </w:r>
      <w:proofErr w:type="spellEnd"/>
      <w:r w:rsidRPr="00A54622">
        <w:rPr>
          <w:rFonts w:ascii="Bookman Old Style" w:hAnsi="Bookman Old Style" w:cs="Arial"/>
          <w:i/>
          <w:iCs/>
        </w:rPr>
        <w:t>.</w:t>
      </w:r>
      <w:r w:rsidRPr="00A54622">
        <w:rPr>
          <w:rFonts w:ascii="Bookman Old Style" w:hAnsi="Bookman Old Style" w:cs="Arial"/>
        </w:rPr>
        <w:t xml:space="preserve">, 212 DPR 981 (2023); </w:t>
      </w:r>
      <w:r w:rsidRPr="00A54622">
        <w:rPr>
          <w:rFonts w:ascii="Bookman Old Style" w:hAnsi="Bookman Old Style" w:cs="Arial"/>
          <w:i/>
          <w:iCs/>
        </w:rPr>
        <w:t>Oriental Bank v. Caballero García</w:t>
      </w:r>
      <w:bookmarkEnd w:id="3"/>
      <w:r w:rsidRPr="00A54622">
        <w:rPr>
          <w:rFonts w:ascii="Bookman Old Style" w:hAnsi="Bookman Old Style" w:cs="Arial"/>
        </w:rPr>
        <w:t xml:space="preserve">, 212 DPR 671 (2023); </w:t>
      </w:r>
      <w:r w:rsidRPr="00A54622">
        <w:rPr>
          <w:rFonts w:ascii="Bookman Old Style" w:hAnsi="Bookman Old Style" w:cs="Arial"/>
          <w:i/>
          <w:iCs/>
        </w:rPr>
        <w:t xml:space="preserve">González Meléndez v. </w:t>
      </w:r>
      <w:proofErr w:type="spellStart"/>
      <w:r w:rsidRPr="00A54622">
        <w:rPr>
          <w:rFonts w:ascii="Bookman Old Style" w:hAnsi="Bookman Old Style" w:cs="Arial"/>
          <w:i/>
          <w:iCs/>
        </w:rPr>
        <w:t>Mun</w:t>
      </w:r>
      <w:proofErr w:type="spellEnd"/>
      <w:r w:rsidRPr="00A54622">
        <w:rPr>
          <w:rFonts w:ascii="Bookman Old Style" w:hAnsi="Bookman Old Style" w:cs="Arial"/>
          <w:i/>
          <w:iCs/>
        </w:rPr>
        <w:t>. San Juan et al.</w:t>
      </w:r>
      <w:r w:rsidRPr="00A54622">
        <w:rPr>
          <w:rFonts w:ascii="Bookman Old Style" w:hAnsi="Bookman Old Style" w:cs="Arial"/>
        </w:rPr>
        <w:t xml:space="preserve">, </w:t>
      </w:r>
      <w:bookmarkEnd w:id="4"/>
      <w:r w:rsidRPr="00A54622">
        <w:rPr>
          <w:rFonts w:ascii="Bookman Old Style" w:hAnsi="Bookman Old Style" w:cs="Arial"/>
        </w:rPr>
        <w:t>212 DPR 601 (2023);</w:t>
      </w:r>
      <w:r w:rsidRPr="00A54622">
        <w:rPr>
          <w:rFonts w:ascii="Bookman Old Style" w:hAnsi="Bookman Old Style" w:cs="Arial"/>
          <w:i/>
          <w:iCs/>
        </w:rPr>
        <w:t xml:space="preserve"> Acevedo y otros v. Depto. Hacienda y otros</w:t>
      </w:r>
      <w:r w:rsidRPr="00A54622">
        <w:rPr>
          <w:rFonts w:ascii="Bookman Old Style" w:hAnsi="Bookman Old Style" w:cs="Arial"/>
        </w:rPr>
        <w:t xml:space="preserve">, </w:t>
      </w:r>
      <w:bookmarkEnd w:id="5"/>
      <w:r w:rsidRPr="00A54622">
        <w:rPr>
          <w:rFonts w:ascii="Bookman Old Style" w:hAnsi="Bookman Old Style" w:cs="Arial"/>
        </w:rPr>
        <w:t xml:space="preserve">212 DPR 335 (2023); </w:t>
      </w:r>
      <w:r w:rsidRPr="00A54622">
        <w:rPr>
          <w:rFonts w:ascii="Bookman Old Style" w:hAnsi="Bookman Old Style" w:cs="Arial"/>
          <w:i/>
          <w:iCs/>
        </w:rPr>
        <w:t xml:space="preserve">Universal </w:t>
      </w:r>
      <w:proofErr w:type="spellStart"/>
      <w:r w:rsidRPr="00A54622">
        <w:rPr>
          <w:rFonts w:ascii="Bookman Old Style" w:hAnsi="Bookman Old Style" w:cs="Arial"/>
          <w:i/>
          <w:iCs/>
        </w:rPr>
        <w:t>Ins</w:t>
      </w:r>
      <w:proofErr w:type="spellEnd"/>
      <w:r w:rsidRPr="00A54622">
        <w:rPr>
          <w:rFonts w:ascii="Bookman Old Style" w:hAnsi="Bookman Old Style" w:cs="Arial"/>
          <w:i/>
          <w:iCs/>
        </w:rPr>
        <w:t>. y otro v. ELA y otros</w:t>
      </w:r>
      <w:r w:rsidRPr="00A54622">
        <w:rPr>
          <w:rFonts w:ascii="Bookman Old Style" w:hAnsi="Bookman Old Style" w:cs="Arial"/>
        </w:rPr>
        <w:t xml:space="preserve">, 211 DPR 455 (2023). Dicho mecanismo permite a los tribunales disponer, parcial o totalmente, de litigios civiles en aquellas situaciones en las cuales no exista controversia material de hecho que requiera ventilarse en un juicio plenario y el derecho así lo permita. </w:t>
      </w:r>
      <w:r w:rsidRPr="00A54622">
        <w:rPr>
          <w:rFonts w:ascii="Bookman Old Style" w:hAnsi="Bookman Old Style" w:cs="Arial"/>
          <w:i/>
          <w:iCs/>
        </w:rPr>
        <w:t xml:space="preserve">Segarra Rivera v. </w:t>
      </w:r>
      <w:proofErr w:type="spellStart"/>
      <w:r w:rsidRPr="00A54622">
        <w:rPr>
          <w:rFonts w:ascii="Bookman Old Style" w:hAnsi="Bookman Old Style" w:cs="Arial"/>
          <w:i/>
          <w:iCs/>
        </w:rPr>
        <w:t>Int’l</w:t>
      </w:r>
      <w:proofErr w:type="spellEnd"/>
      <w:r w:rsidRPr="00A54622">
        <w:rPr>
          <w:rFonts w:ascii="Bookman Old Style" w:hAnsi="Bookman Old Style" w:cs="Arial"/>
          <w:i/>
          <w:iCs/>
        </w:rPr>
        <w:t xml:space="preserve">. </w:t>
      </w:r>
      <w:proofErr w:type="spellStart"/>
      <w:r w:rsidRPr="00A54622">
        <w:rPr>
          <w:rFonts w:ascii="Bookman Old Style" w:hAnsi="Bookman Old Style" w:cs="Arial"/>
          <w:i/>
          <w:iCs/>
        </w:rPr>
        <w:t>Shipping</w:t>
      </w:r>
      <w:proofErr w:type="spellEnd"/>
      <w:r w:rsidRPr="00A54622">
        <w:rPr>
          <w:rFonts w:ascii="Bookman Old Style" w:hAnsi="Bookman Old Style" w:cs="Arial"/>
          <w:i/>
          <w:iCs/>
        </w:rPr>
        <w:t xml:space="preserve"> et al.</w:t>
      </w:r>
      <w:r w:rsidRPr="00A54622">
        <w:rPr>
          <w:rFonts w:ascii="Bookman Old Style" w:hAnsi="Bookman Old Style" w:cs="Arial"/>
        </w:rPr>
        <w:t xml:space="preserve">, 208 DPR 964 (2022). Este mecanismo lo puede utilizar la parte reclamante o aquella parte que se defiende de una reclamación. 32 LPRA Ap. V, R. 36.1 y 36.2. </w:t>
      </w:r>
    </w:p>
    <w:p w14:paraId="49377929" w14:textId="77777777" w:rsidR="00D040B0" w:rsidRPr="00A54622" w:rsidRDefault="00D040B0" w:rsidP="00D040B0">
      <w:pPr>
        <w:spacing w:line="480" w:lineRule="auto"/>
        <w:ind w:firstLine="720"/>
        <w:contextualSpacing/>
        <w:jc w:val="both"/>
        <w:rPr>
          <w:rFonts w:ascii="Bookman Old Style" w:hAnsi="Bookman Old Style" w:cs="Arial"/>
        </w:rPr>
      </w:pPr>
      <w:r w:rsidRPr="00A54622">
        <w:rPr>
          <w:rFonts w:ascii="Bookman Old Style" w:hAnsi="Bookman Old Style" w:cs="Arial"/>
        </w:rPr>
        <w:t xml:space="preserve">Mediante el mecanismo de sentencia sumaria, se procura profundizar en las alegaciones para verificar si, en efecto, los hechos ameritan dilucidarse en un juicio. </w:t>
      </w:r>
      <w:r w:rsidRPr="00A54622">
        <w:rPr>
          <w:rFonts w:ascii="Bookman Old Style" w:hAnsi="Bookman Old Style" w:cs="Arial"/>
          <w:i/>
          <w:iCs/>
        </w:rPr>
        <w:t xml:space="preserve">León Torres v. Rivera Lebrón, </w:t>
      </w:r>
      <w:bookmarkStart w:id="6" w:name="_Hlk8025059"/>
      <w:r w:rsidRPr="00A54622">
        <w:rPr>
          <w:rFonts w:ascii="Bookman Old Style" w:hAnsi="Bookman Old Style" w:cs="Arial"/>
        </w:rPr>
        <w:t>204 DPR 20, 42 (2020)</w:t>
      </w:r>
      <w:bookmarkEnd w:id="6"/>
      <w:r w:rsidRPr="00A54622">
        <w:rPr>
          <w:rFonts w:ascii="Bookman Old Style" w:hAnsi="Bookman Old Style" w:cs="Arial"/>
        </w:rPr>
        <w:t xml:space="preserve">. Este cauce sumario resulta beneficioso tanto para el tribunal, como para las partes en un pleito, pues se agiliza el proceso judicial, mientras simultáneamente se provee a los litigantes un mecanismo procesal encaminado a alcanzar un remedio justo, rápido y económico. </w:t>
      </w:r>
      <w:r w:rsidRPr="00A54622">
        <w:rPr>
          <w:rFonts w:ascii="Bookman Old Style" w:hAnsi="Bookman Old Style" w:cs="Arial"/>
          <w:i/>
          <w:iCs/>
        </w:rPr>
        <w:t xml:space="preserve">Segarra Rivera v. </w:t>
      </w:r>
      <w:proofErr w:type="spellStart"/>
      <w:r w:rsidRPr="00A54622">
        <w:rPr>
          <w:rFonts w:ascii="Bookman Old Style" w:hAnsi="Bookman Old Style" w:cs="Arial"/>
          <w:i/>
          <w:iCs/>
        </w:rPr>
        <w:t>Int’l</w:t>
      </w:r>
      <w:proofErr w:type="spellEnd"/>
      <w:r w:rsidRPr="00A54622">
        <w:rPr>
          <w:rFonts w:ascii="Bookman Old Style" w:hAnsi="Bookman Old Style" w:cs="Arial"/>
          <w:i/>
          <w:iCs/>
        </w:rPr>
        <w:t xml:space="preserve">. </w:t>
      </w:r>
      <w:proofErr w:type="spellStart"/>
      <w:r w:rsidRPr="00A54622">
        <w:rPr>
          <w:rFonts w:ascii="Bookman Old Style" w:hAnsi="Bookman Old Style" w:cs="Arial"/>
          <w:i/>
          <w:iCs/>
        </w:rPr>
        <w:t>Shipping</w:t>
      </w:r>
      <w:proofErr w:type="spellEnd"/>
      <w:r w:rsidRPr="00A54622">
        <w:rPr>
          <w:rFonts w:ascii="Bookman Old Style" w:hAnsi="Bookman Old Style" w:cs="Arial"/>
          <w:i/>
          <w:iCs/>
        </w:rPr>
        <w:t xml:space="preserve"> et al.</w:t>
      </w:r>
      <w:r w:rsidRPr="00A54622">
        <w:rPr>
          <w:rFonts w:ascii="Bookman Old Style" w:hAnsi="Bookman Old Style" w:cs="Arial"/>
        </w:rPr>
        <w:t xml:space="preserve">, supra. Como se sabe, en aras de prevalecer en una reclamación, la parte promovente debe presentar prueba incontrovertible sobre todos los elementos indispensables de su causa de acción. </w:t>
      </w:r>
      <w:r w:rsidRPr="00A54622">
        <w:rPr>
          <w:rFonts w:ascii="Bookman Old Style" w:hAnsi="Bookman Old Style" w:cs="Arial"/>
          <w:i/>
          <w:iCs/>
        </w:rPr>
        <w:t>Íd</w:t>
      </w:r>
      <w:r w:rsidRPr="00A54622">
        <w:rPr>
          <w:rFonts w:ascii="Bookman Old Style" w:hAnsi="Bookman Old Style" w:cs="Arial"/>
        </w:rPr>
        <w:t xml:space="preserve">. </w:t>
      </w:r>
    </w:p>
    <w:p w14:paraId="7030081D" w14:textId="77777777" w:rsidR="00D040B0" w:rsidRPr="00A54622" w:rsidRDefault="00D040B0" w:rsidP="00D040B0">
      <w:pPr>
        <w:spacing w:line="480" w:lineRule="auto"/>
        <w:ind w:firstLine="720"/>
        <w:contextualSpacing/>
        <w:jc w:val="both"/>
        <w:rPr>
          <w:rFonts w:ascii="Bookman Old Style" w:hAnsi="Bookman Old Style" w:cs="Arial"/>
        </w:rPr>
      </w:pPr>
      <w:r w:rsidRPr="00A54622">
        <w:rPr>
          <w:rFonts w:ascii="Bookman Old Style" w:hAnsi="Bookman Old Style" w:cs="Arial"/>
        </w:rPr>
        <w:t xml:space="preserve">Nuestro ordenamiento civil y su jurisprudencia interpretativa impone unos requisitos de forma con los cuales hay que cumplir al momento de presentar una solicitud de sentencia sumaria, a saber: (1) una exposición breve de las alegaciones de las partes; (2) los asuntos litigiosos o en controversia; (3) la causa de acción sobre la cual se solicita la sentencia sumaria; (4) una relación concisa, organizada y en párrafos enumerados de todos los hechos esenciales y pertinentes sobre los cuales no hay controversia sustancial, con indicación de los párrafos o las páginas de las declaraciones juradas u otra prueba admisible en evidencia donde se establecen estos hechos, así como de cualquier otro documento admisible en evidencia que se encuentre en el expediente del tribunal; (5) las razones por las cuales se debe dictar la sentencia, argumentando el derecho aplicable, y (6) el remedio que debe ser concedido. 32 LPRA Ap. V, R. 36.3; </w:t>
      </w:r>
      <w:r w:rsidRPr="00A54622">
        <w:rPr>
          <w:rFonts w:ascii="Bookman Old Style" w:hAnsi="Bookman Old Style" w:cs="Arial"/>
          <w:i/>
          <w:iCs/>
        </w:rPr>
        <w:t>Oriental Bank v. Caballero García</w:t>
      </w:r>
      <w:r w:rsidRPr="00A54622">
        <w:rPr>
          <w:rFonts w:ascii="Bookman Old Style" w:hAnsi="Bookman Old Style" w:cs="Arial"/>
        </w:rPr>
        <w:t xml:space="preserve">, supra; </w:t>
      </w:r>
      <w:r w:rsidRPr="00A54622">
        <w:rPr>
          <w:rFonts w:ascii="Bookman Old Style" w:hAnsi="Bookman Old Style" w:cs="Arial"/>
          <w:i/>
          <w:iCs/>
        </w:rPr>
        <w:t xml:space="preserve">Pérez Vargas v. Office </w:t>
      </w:r>
      <w:proofErr w:type="spellStart"/>
      <w:r w:rsidRPr="00A54622">
        <w:rPr>
          <w:rFonts w:ascii="Bookman Old Style" w:hAnsi="Bookman Old Style" w:cs="Arial"/>
          <w:i/>
          <w:iCs/>
        </w:rPr>
        <w:t>Depot</w:t>
      </w:r>
      <w:proofErr w:type="spellEnd"/>
      <w:r w:rsidRPr="00A54622">
        <w:rPr>
          <w:rFonts w:ascii="Bookman Old Style" w:hAnsi="Bookman Old Style" w:cs="Arial"/>
        </w:rPr>
        <w:t xml:space="preserve">, 203 DPR 687 (2019). Si la parte promovente de la moción incumple con estos requisitos, “el tribunal no estará obligado a considerar su pedido”. </w:t>
      </w:r>
      <w:r w:rsidRPr="00A54622">
        <w:rPr>
          <w:rFonts w:ascii="Bookman Old Style" w:hAnsi="Bookman Old Style" w:cs="Arial"/>
          <w:i/>
          <w:iCs/>
        </w:rPr>
        <w:t>Meléndez González et al. v. M. Cuebas</w:t>
      </w:r>
      <w:r w:rsidRPr="00A54622">
        <w:rPr>
          <w:rFonts w:ascii="Bookman Old Style" w:hAnsi="Bookman Old Style" w:cs="Arial"/>
        </w:rPr>
        <w:t>, 193 DPR 100, 111 (2015).</w:t>
      </w:r>
    </w:p>
    <w:p w14:paraId="7DB421CA" w14:textId="77777777" w:rsidR="00D040B0" w:rsidRPr="00A54622" w:rsidRDefault="00D040B0" w:rsidP="00D040B0">
      <w:pPr>
        <w:spacing w:line="480" w:lineRule="auto"/>
        <w:ind w:firstLine="720"/>
        <w:contextualSpacing/>
        <w:jc w:val="both"/>
        <w:rPr>
          <w:rFonts w:ascii="Bookman Old Style" w:hAnsi="Bookman Old Style" w:cs="Arial"/>
        </w:rPr>
      </w:pPr>
      <w:r w:rsidRPr="00A54622">
        <w:rPr>
          <w:rFonts w:ascii="Bookman Old Style" w:hAnsi="Bookman Old Style" w:cs="Arial"/>
        </w:rPr>
        <w:t xml:space="preserve">Por otro lado, “la parte que desafía una solicitud de sentencia sumaria no puede descansar en las aseveraciones o negaciones consignadas en su alegación”. </w:t>
      </w:r>
      <w:r w:rsidRPr="00A54622">
        <w:rPr>
          <w:rFonts w:ascii="Bookman Old Style" w:hAnsi="Bookman Old Style" w:cs="Arial"/>
          <w:i/>
          <w:iCs/>
        </w:rPr>
        <w:t xml:space="preserve">León Torres v. Rivera Lebrón, </w:t>
      </w:r>
      <w:r w:rsidRPr="00A54622">
        <w:rPr>
          <w:rFonts w:ascii="Bookman Old Style" w:hAnsi="Bookman Old Style" w:cs="Arial"/>
        </w:rPr>
        <w:t>supra</w:t>
      </w:r>
      <w:r w:rsidRPr="00A54622">
        <w:rPr>
          <w:rFonts w:ascii="Bookman Old Style" w:hAnsi="Bookman Old Style" w:cs="Arial"/>
          <w:i/>
          <w:iCs/>
        </w:rPr>
        <w:t xml:space="preserve">, </w:t>
      </w:r>
      <w:r w:rsidRPr="00A54622">
        <w:rPr>
          <w:rFonts w:ascii="Bookman Old Style" w:hAnsi="Bookman Old Style" w:cs="Arial"/>
        </w:rPr>
        <w:t xml:space="preserve">pág. 43. Por el contrario, quien se opone a que se declare con lugar esta solicitud viene obligado a enfrentar la moción de su adversario de forma tan detallada y específica como lo ha hecho la parte promovente puesto que, si incumple, corre el riesgo de que se dicte sentencia sumaria en su contra, si la misma procede en derecho. </w:t>
      </w:r>
      <w:r w:rsidRPr="00A54622">
        <w:rPr>
          <w:rFonts w:ascii="Bookman Old Style" w:hAnsi="Bookman Old Style" w:cs="Arial"/>
          <w:i/>
          <w:iCs/>
        </w:rPr>
        <w:t>Íd</w:t>
      </w:r>
      <w:r w:rsidRPr="00A54622">
        <w:rPr>
          <w:rFonts w:ascii="Bookman Old Style" w:hAnsi="Bookman Old Style" w:cs="Arial"/>
        </w:rPr>
        <w:t xml:space="preserve">. </w:t>
      </w:r>
    </w:p>
    <w:p w14:paraId="028139E6" w14:textId="1A015BB1" w:rsidR="00D040B0" w:rsidRPr="00A54622" w:rsidRDefault="00D040B0" w:rsidP="00D040B0">
      <w:pPr>
        <w:spacing w:line="480" w:lineRule="auto"/>
        <w:ind w:firstLine="720"/>
        <w:contextualSpacing/>
        <w:jc w:val="both"/>
        <w:rPr>
          <w:rFonts w:ascii="Bookman Old Style" w:hAnsi="Bookman Old Style" w:cs="Arial"/>
        </w:rPr>
      </w:pPr>
      <w:r w:rsidRPr="00A54622">
        <w:rPr>
          <w:rFonts w:ascii="Bookman Old Style" w:hAnsi="Bookman Old Style" w:cs="Arial"/>
        </w:rPr>
        <w:t xml:space="preserve">Por ello, en la oposición a una solicitud de sentencia sumaria, la parte promovida debe puntualizar aquellos hechos propuestos que pretende controvertir y, si así lo desea, someter hechos materiales adicionales que alega no están en disputa y que impiden que se dicte sentencia sumaria en su contra. </w:t>
      </w:r>
      <w:r w:rsidRPr="00A54622">
        <w:rPr>
          <w:rFonts w:ascii="Bookman Old Style" w:hAnsi="Bookman Old Style" w:cs="Arial"/>
          <w:i/>
          <w:iCs/>
        </w:rPr>
        <w:t xml:space="preserve">León Torres v. Rivera Lebrón, </w:t>
      </w:r>
      <w:r w:rsidRPr="00A54622">
        <w:rPr>
          <w:rFonts w:ascii="Bookman Old Style" w:hAnsi="Bookman Old Style" w:cs="Arial"/>
        </w:rPr>
        <w:t>supra. Claro está, para cada uno de estos supuestos deberá hacer referencia a la prueba específica que sostiene su posición, según exigido por la Regla 36.3 de Procedimiento Civil, 32 LPRA</w:t>
      </w:r>
      <w:r w:rsidR="00F82E97" w:rsidRPr="00A54622">
        <w:rPr>
          <w:rFonts w:ascii="Bookman Old Style" w:hAnsi="Bookman Old Style" w:cs="Arial"/>
        </w:rPr>
        <w:t xml:space="preserve">    </w:t>
      </w:r>
      <w:r w:rsidRPr="00A54622">
        <w:rPr>
          <w:rFonts w:ascii="Bookman Old Style" w:hAnsi="Bookman Old Style" w:cs="Arial"/>
        </w:rPr>
        <w:t xml:space="preserve"> Ap. V, R. 36.3. </w:t>
      </w:r>
      <w:r w:rsidRPr="00A54622">
        <w:rPr>
          <w:rFonts w:ascii="Bookman Old Style" w:hAnsi="Bookman Old Style" w:cs="Arial"/>
          <w:i/>
          <w:iCs/>
        </w:rPr>
        <w:t>Íd</w:t>
      </w:r>
      <w:r w:rsidRPr="00A54622">
        <w:rPr>
          <w:rFonts w:ascii="Bookman Old Style" w:hAnsi="Bookman Old Style" w:cs="Arial"/>
        </w:rPr>
        <w:t xml:space="preserve">. En otras palabras, la parte opositora tiene el peso de presentar evidencia sustancial que apoye los hechos materiales que alega están en disputa. </w:t>
      </w:r>
      <w:r w:rsidRPr="00A54622">
        <w:rPr>
          <w:rFonts w:ascii="Bookman Old Style" w:hAnsi="Bookman Old Style" w:cs="Arial"/>
          <w:i/>
          <w:iCs/>
        </w:rPr>
        <w:t>Íd</w:t>
      </w:r>
      <w:r w:rsidRPr="00A54622">
        <w:rPr>
          <w:rFonts w:ascii="Bookman Old Style" w:hAnsi="Bookman Old Style" w:cs="Arial"/>
        </w:rPr>
        <w:t>. De lo anterior, se puede colegir que, ante el incumplimiento de las partes con las formalidades de la Regla 36 de Procedimiento Civil de 2009, </w:t>
      </w:r>
      <w:r w:rsidRPr="00A54622">
        <w:rPr>
          <w:rFonts w:ascii="Bookman Old Style" w:hAnsi="Bookman Old Style" w:cs="Arial"/>
          <w:i/>
          <w:iCs/>
        </w:rPr>
        <w:t>supra</w:t>
      </w:r>
      <w:r w:rsidRPr="00A54622">
        <w:rPr>
          <w:rFonts w:ascii="Bookman Old Style" w:hAnsi="Bookman Old Style" w:cs="Arial"/>
        </w:rPr>
        <w:t>, la consideración de sus posiciones descansa en la sana discreción del Tribunal. </w:t>
      </w:r>
    </w:p>
    <w:p w14:paraId="3296D53E" w14:textId="77777777" w:rsidR="00D040B0" w:rsidRPr="00A54622" w:rsidRDefault="00D040B0" w:rsidP="00D040B0">
      <w:pPr>
        <w:spacing w:line="480" w:lineRule="auto"/>
        <w:ind w:firstLine="720"/>
        <w:contextualSpacing/>
        <w:jc w:val="both"/>
        <w:rPr>
          <w:rFonts w:ascii="Bookman Old Style" w:hAnsi="Bookman Old Style" w:cs="Arial"/>
        </w:rPr>
      </w:pPr>
      <w:r w:rsidRPr="00A54622">
        <w:rPr>
          <w:rFonts w:ascii="Bookman Old Style" w:hAnsi="Bookman Old Style" w:cs="Arial"/>
        </w:rPr>
        <w:t xml:space="preserve">Al atender la solicitud, el Tribunal deberá asumir como ciertos los hechos no controvertidos que se encuentren sustentados por los documentos presentados por la parte promovente. </w:t>
      </w:r>
      <w:r w:rsidRPr="00A54622">
        <w:rPr>
          <w:rFonts w:ascii="Bookman Old Style" w:hAnsi="Bookman Old Style" w:cs="Arial"/>
          <w:i/>
          <w:iCs/>
        </w:rPr>
        <w:t>E.L.A. v. Cole</w:t>
      </w:r>
      <w:r w:rsidRPr="00A54622">
        <w:rPr>
          <w:rFonts w:ascii="Bookman Old Style" w:hAnsi="Bookman Old Style" w:cs="Arial"/>
        </w:rPr>
        <w:t xml:space="preserve">, 164 DPR 608, 626 (2005). Toda inferencia razonable que pueda surgir de los hechos y de los documentos se debe interpretar en contra de quien solicita la sentencia sumaria, pues solo procede si bajo ningún supuesto de hechos prevalece la parte promovida. </w:t>
      </w:r>
      <w:r w:rsidRPr="00A54622">
        <w:rPr>
          <w:rFonts w:ascii="Bookman Old Style" w:hAnsi="Bookman Old Style" w:cs="Arial"/>
          <w:i/>
          <w:iCs/>
        </w:rPr>
        <w:t>Íd</w:t>
      </w:r>
      <w:r w:rsidRPr="00A54622">
        <w:rPr>
          <w:rFonts w:ascii="Bookman Old Style" w:hAnsi="Bookman Old Style" w:cs="Arial"/>
        </w:rPr>
        <w:t xml:space="preserve">., pág. 625. Además, al evaluar los méritos de una solicitud de sentencia sumaria, el juzgador o juzgadora debe actuar guiado por la prudencia y ser consciente, en todo momento, que su determinación puede conllevar el que se prive a una de las partes de su “día en corte”, componente integral del debido proceso de ley. </w:t>
      </w:r>
      <w:r w:rsidRPr="00A54622">
        <w:rPr>
          <w:rFonts w:ascii="Bookman Old Style" w:hAnsi="Bookman Old Style" w:cs="Arial"/>
          <w:i/>
          <w:iCs/>
        </w:rPr>
        <w:t xml:space="preserve">León Torres v. Rivera Lebrón, </w:t>
      </w:r>
      <w:r w:rsidRPr="00A54622">
        <w:rPr>
          <w:rFonts w:ascii="Bookman Old Style" w:hAnsi="Bookman Old Style" w:cs="Arial"/>
        </w:rPr>
        <w:t>supra</w:t>
      </w:r>
      <w:r w:rsidRPr="00A54622">
        <w:rPr>
          <w:rFonts w:ascii="Bookman Old Style" w:hAnsi="Bookman Old Style" w:cs="Arial"/>
          <w:i/>
          <w:iCs/>
        </w:rPr>
        <w:t xml:space="preserve">, </w:t>
      </w:r>
      <w:r w:rsidRPr="00A54622">
        <w:rPr>
          <w:rFonts w:ascii="Bookman Old Style" w:hAnsi="Bookman Old Style" w:cs="Arial"/>
        </w:rPr>
        <w:t>pág. 44.</w:t>
      </w:r>
    </w:p>
    <w:p w14:paraId="5F7F7734" w14:textId="0D7689F6" w:rsidR="00D040B0" w:rsidRPr="00A54622" w:rsidRDefault="00D040B0" w:rsidP="00D040B0">
      <w:pPr>
        <w:spacing w:line="480" w:lineRule="auto"/>
        <w:ind w:firstLine="720"/>
        <w:contextualSpacing/>
        <w:jc w:val="both"/>
        <w:rPr>
          <w:rFonts w:ascii="Bookman Old Style" w:hAnsi="Bookman Old Style" w:cs="Arial"/>
        </w:rPr>
      </w:pPr>
      <w:r w:rsidRPr="00A54622">
        <w:rPr>
          <w:rFonts w:ascii="Bookman Old Style" w:hAnsi="Bookman Old Style" w:cs="Arial"/>
        </w:rPr>
        <w:t xml:space="preserve">Sin embargo, la sentencia sumaria generalmente no procederá cuando existan controversias sobre hechos esenciales materiales, o si la controversia del caso está basada en elementos subjetivos como intención, propósitos mentales, negligencia o credibilidad. </w:t>
      </w:r>
      <w:r w:rsidRPr="00A54622">
        <w:rPr>
          <w:rFonts w:ascii="Bookman Old Style" w:hAnsi="Bookman Old Style" w:cs="Arial"/>
          <w:i/>
          <w:iCs/>
        </w:rPr>
        <w:t>Cruz, López v. Casa Bella y otros</w:t>
      </w:r>
      <w:r w:rsidRPr="00A54622">
        <w:rPr>
          <w:rFonts w:ascii="Bookman Old Style" w:hAnsi="Bookman Old Style" w:cs="Arial"/>
        </w:rPr>
        <w:t>, 213 DPR 80</w:t>
      </w:r>
      <w:r w:rsidR="0040756E" w:rsidRPr="00A54622">
        <w:rPr>
          <w:rFonts w:ascii="Bookman Old Style" w:hAnsi="Bookman Old Style" w:cs="Arial"/>
        </w:rPr>
        <w:t>, 90</w:t>
      </w:r>
      <w:r w:rsidRPr="00A54622">
        <w:rPr>
          <w:rFonts w:ascii="Bookman Old Style" w:hAnsi="Bookman Old Style" w:cs="Arial"/>
        </w:rPr>
        <w:t xml:space="preserve"> (2024);</w:t>
      </w:r>
      <w:r w:rsidRPr="00A54622">
        <w:rPr>
          <w:rFonts w:ascii="Bookman Old Style" w:hAnsi="Bookman Old Style" w:cs="Arial"/>
          <w:i/>
          <w:iCs/>
        </w:rPr>
        <w:t xml:space="preserve"> Acevedo y otros v. Depto. Hacienda y otros</w:t>
      </w:r>
      <w:r w:rsidRPr="00A54622">
        <w:rPr>
          <w:rFonts w:ascii="Bookman Old Style" w:hAnsi="Bookman Old Style" w:cs="Arial"/>
        </w:rPr>
        <w:t xml:space="preserve">, supra; </w:t>
      </w:r>
      <w:r w:rsidRPr="00A54622">
        <w:rPr>
          <w:rFonts w:ascii="Bookman Old Style" w:hAnsi="Bookman Old Style" w:cs="Arial"/>
          <w:i/>
          <w:iCs/>
        </w:rPr>
        <w:t xml:space="preserve">Segarra Rivera v. </w:t>
      </w:r>
      <w:proofErr w:type="spellStart"/>
      <w:r w:rsidRPr="00A54622">
        <w:rPr>
          <w:rFonts w:ascii="Bookman Old Style" w:hAnsi="Bookman Old Style" w:cs="Arial"/>
          <w:i/>
          <w:iCs/>
        </w:rPr>
        <w:t>Int’l</w:t>
      </w:r>
      <w:proofErr w:type="spellEnd"/>
      <w:r w:rsidRPr="00A54622">
        <w:rPr>
          <w:rFonts w:ascii="Bookman Old Style" w:hAnsi="Bookman Old Style" w:cs="Arial"/>
          <w:i/>
          <w:iCs/>
        </w:rPr>
        <w:t xml:space="preserve">. </w:t>
      </w:r>
      <w:proofErr w:type="spellStart"/>
      <w:r w:rsidRPr="00A54622">
        <w:rPr>
          <w:rFonts w:ascii="Bookman Old Style" w:hAnsi="Bookman Old Style" w:cs="Arial"/>
          <w:i/>
          <w:iCs/>
        </w:rPr>
        <w:t>Shipping</w:t>
      </w:r>
      <w:proofErr w:type="spellEnd"/>
      <w:r w:rsidRPr="00A54622">
        <w:rPr>
          <w:rFonts w:ascii="Bookman Old Style" w:hAnsi="Bookman Old Style" w:cs="Arial"/>
          <w:i/>
          <w:iCs/>
        </w:rPr>
        <w:t xml:space="preserve"> et al.</w:t>
      </w:r>
      <w:r w:rsidRPr="00A54622">
        <w:rPr>
          <w:rFonts w:ascii="Bookman Old Style" w:hAnsi="Bookman Old Style" w:cs="Arial"/>
        </w:rPr>
        <w:t xml:space="preserve">, supra. Un hecho material es aquel que puede afectar el resultado de la reclamación de acuerdo con el derecho sustantivo aplicable. </w:t>
      </w:r>
      <w:r w:rsidRPr="00A54622">
        <w:rPr>
          <w:rFonts w:ascii="Bookman Old Style" w:hAnsi="Bookman Old Style" w:cs="Arial"/>
          <w:i/>
          <w:iCs/>
        </w:rPr>
        <w:t>Banco Popular de Puerto Rico v. Zorrilla Posada y otro</w:t>
      </w:r>
      <w:r w:rsidRPr="00A54622">
        <w:rPr>
          <w:rFonts w:ascii="Bookman Old Style" w:hAnsi="Bookman Old Style" w:cs="Arial"/>
        </w:rPr>
        <w:t xml:space="preserve">, 2024 TSPR 62, resuelto el 17 de junio de 2024; </w:t>
      </w:r>
      <w:r w:rsidRPr="00A54622">
        <w:rPr>
          <w:rFonts w:ascii="Bookman Old Style" w:hAnsi="Bookman Old Style" w:cs="Arial"/>
          <w:i/>
          <w:iCs/>
        </w:rPr>
        <w:t xml:space="preserve">Oriental Bank v. Caballero García, </w:t>
      </w:r>
      <w:r w:rsidRPr="00A54622">
        <w:rPr>
          <w:rFonts w:ascii="Bookman Old Style" w:hAnsi="Bookman Old Style" w:cs="Arial"/>
        </w:rPr>
        <w:t xml:space="preserve">supra, pág. 7; </w:t>
      </w:r>
      <w:r w:rsidRPr="00A54622">
        <w:rPr>
          <w:rFonts w:ascii="Bookman Old Style" w:hAnsi="Bookman Old Style" w:cs="Arial"/>
          <w:i/>
          <w:iCs/>
        </w:rPr>
        <w:t>Mejías et al. v. Carrasquillo et al.</w:t>
      </w:r>
      <w:r w:rsidRPr="00A54622">
        <w:rPr>
          <w:rFonts w:ascii="Bookman Old Style" w:hAnsi="Bookman Old Style" w:cs="Arial"/>
        </w:rPr>
        <w:t xml:space="preserve">, 185 DPR 288, 299 (2012); </w:t>
      </w:r>
      <w:r w:rsidRPr="00A54622">
        <w:rPr>
          <w:rFonts w:ascii="Bookman Old Style" w:hAnsi="Bookman Old Style" w:cs="Arial"/>
          <w:i/>
          <w:iCs/>
        </w:rPr>
        <w:t>Ramos Pérez v. Univisión</w:t>
      </w:r>
      <w:r w:rsidRPr="00A54622">
        <w:rPr>
          <w:rFonts w:ascii="Bookman Old Style" w:hAnsi="Bookman Old Style" w:cs="Arial"/>
        </w:rPr>
        <w:t xml:space="preserve">, 178 DPR 200, 213 (2010). Ahora bien, el Foro de última instancia ha reiterado que cualquier duda no es suficiente para derrotar una moción de sentencia sumaria, pues debe tratarse de una incertidumbre que permita concluir que existe una controversia real sobre hechos relevantes y pertinentes. </w:t>
      </w:r>
      <w:r w:rsidRPr="00A54622">
        <w:rPr>
          <w:rFonts w:ascii="Bookman Old Style" w:hAnsi="Bookman Old Style" w:cs="Arial"/>
          <w:i/>
          <w:iCs/>
        </w:rPr>
        <w:t>Íd</w:t>
      </w:r>
      <w:r w:rsidRPr="00A54622">
        <w:rPr>
          <w:rFonts w:ascii="Bookman Old Style" w:hAnsi="Bookman Old Style" w:cs="Arial"/>
        </w:rPr>
        <w:t xml:space="preserve">. Además, existen casos que no se deben resolver mediante sentencia sumaria porque resulta difícil reunir la verdad de los hechos mediante declaraciones juradas o deposiciones. </w:t>
      </w:r>
      <w:r w:rsidRPr="00A54622">
        <w:rPr>
          <w:rFonts w:ascii="Bookman Old Style" w:hAnsi="Bookman Old Style" w:cs="Arial"/>
          <w:i/>
          <w:iCs/>
        </w:rPr>
        <w:t xml:space="preserve">Jusino et </w:t>
      </w:r>
      <w:proofErr w:type="spellStart"/>
      <w:r w:rsidRPr="00A54622">
        <w:rPr>
          <w:rFonts w:ascii="Bookman Old Style" w:hAnsi="Bookman Old Style" w:cs="Arial"/>
          <w:i/>
          <w:iCs/>
        </w:rPr>
        <w:t>als</w:t>
      </w:r>
      <w:proofErr w:type="spellEnd"/>
      <w:r w:rsidRPr="00A54622">
        <w:rPr>
          <w:rFonts w:ascii="Bookman Old Style" w:hAnsi="Bookman Old Style" w:cs="Arial"/>
          <w:i/>
          <w:iCs/>
        </w:rPr>
        <w:t>. v. Walgreens</w:t>
      </w:r>
      <w:r w:rsidRPr="00A54622">
        <w:rPr>
          <w:rFonts w:ascii="Bookman Old Style" w:hAnsi="Bookman Old Style" w:cs="Arial"/>
        </w:rPr>
        <w:t xml:space="preserve">, 155 DPR 560, 579 (2001). De igual modo, no es apropiado resolver por la vía sumaria “casos complejos o casos que involucren cuestiones de interés público”. </w:t>
      </w:r>
      <w:r w:rsidRPr="00A54622">
        <w:rPr>
          <w:rFonts w:ascii="Bookman Old Style" w:hAnsi="Bookman Old Style" w:cs="Arial"/>
          <w:i/>
          <w:iCs/>
        </w:rPr>
        <w:t>Íd</w:t>
      </w:r>
      <w:r w:rsidRPr="00A54622">
        <w:rPr>
          <w:rFonts w:ascii="Bookman Old Style" w:hAnsi="Bookman Old Style" w:cs="Arial"/>
        </w:rPr>
        <w:t xml:space="preserve">. No obstante, la sentencia sumaria procederá si atiende cuestiones de derecho. </w:t>
      </w:r>
      <w:r w:rsidRPr="00A54622">
        <w:rPr>
          <w:rFonts w:ascii="Bookman Old Style" w:hAnsi="Bookman Old Style" w:cs="Arial"/>
          <w:i/>
          <w:iCs/>
        </w:rPr>
        <w:t xml:space="preserve">Universal </w:t>
      </w:r>
      <w:proofErr w:type="spellStart"/>
      <w:r w:rsidRPr="00A54622">
        <w:rPr>
          <w:rFonts w:ascii="Bookman Old Style" w:hAnsi="Bookman Old Style" w:cs="Arial"/>
          <w:i/>
          <w:iCs/>
        </w:rPr>
        <w:t>Ins</w:t>
      </w:r>
      <w:proofErr w:type="spellEnd"/>
      <w:r w:rsidRPr="00A54622">
        <w:rPr>
          <w:rFonts w:ascii="Bookman Old Style" w:hAnsi="Bookman Old Style" w:cs="Arial"/>
          <w:i/>
          <w:iCs/>
        </w:rPr>
        <w:t>. y otro v. ELA y otros</w:t>
      </w:r>
      <w:r w:rsidRPr="00A54622">
        <w:rPr>
          <w:rFonts w:ascii="Bookman Old Style" w:hAnsi="Bookman Old Style" w:cs="Arial"/>
        </w:rPr>
        <w:t>, supra.</w:t>
      </w:r>
    </w:p>
    <w:p w14:paraId="380CE1E7" w14:textId="77777777" w:rsidR="00D040B0" w:rsidRPr="00A54622" w:rsidRDefault="00D040B0" w:rsidP="00D040B0">
      <w:pPr>
        <w:spacing w:line="480" w:lineRule="auto"/>
        <w:ind w:firstLine="720"/>
        <w:contextualSpacing/>
        <w:jc w:val="both"/>
        <w:rPr>
          <w:rFonts w:ascii="Bookman Old Style" w:hAnsi="Bookman Old Style" w:cs="Arial"/>
        </w:rPr>
      </w:pPr>
      <w:r w:rsidRPr="00A54622">
        <w:rPr>
          <w:rFonts w:ascii="Bookman Old Style" w:hAnsi="Bookman Old Style" w:cs="Arial"/>
        </w:rPr>
        <w:t xml:space="preserve">El Tribunal Supremo de Puerto Rico ha discutido los criterios que este Tribunal de Apelaciones debe considerar al momento de revisar una sentencia dictada sumariamente por el foro de instancia. </w:t>
      </w:r>
      <w:r w:rsidRPr="00A54622">
        <w:rPr>
          <w:rFonts w:ascii="Bookman Old Style" w:hAnsi="Bookman Old Style" w:cs="Arial"/>
          <w:i/>
          <w:iCs/>
        </w:rPr>
        <w:t>Roldán Flores v. M. Cuebas et al.</w:t>
      </w:r>
      <w:r w:rsidRPr="00A54622">
        <w:rPr>
          <w:rFonts w:ascii="Bookman Old Style" w:hAnsi="Bookman Old Style" w:cs="Arial"/>
        </w:rPr>
        <w:t xml:space="preserve">, 199 DPR 664, 679-680 (2018); </w:t>
      </w:r>
      <w:r w:rsidRPr="00A54622">
        <w:rPr>
          <w:rFonts w:ascii="Bookman Old Style" w:hAnsi="Bookman Old Style" w:cs="Arial"/>
          <w:i/>
          <w:iCs/>
        </w:rPr>
        <w:t>Meléndez González et al. v. M. Cuebas</w:t>
      </w:r>
      <w:r w:rsidRPr="00A54622">
        <w:rPr>
          <w:rFonts w:ascii="Bookman Old Style" w:hAnsi="Bookman Old Style" w:cs="Arial"/>
        </w:rPr>
        <w:t xml:space="preserve">, supra, págs. 118-119. Sobre ese particular, nuestro más Alto Foro señaló que: </w:t>
      </w:r>
    </w:p>
    <w:p w14:paraId="614336DA" w14:textId="77777777" w:rsidR="00D040B0" w:rsidRPr="00A54622" w:rsidRDefault="00D040B0" w:rsidP="00D040B0">
      <w:pPr>
        <w:spacing w:line="480" w:lineRule="auto"/>
        <w:ind w:firstLine="720"/>
        <w:contextualSpacing/>
        <w:jc w:val="both"/>
        <w:rPr>
          <w:rFonts w:ascii="Bookman Old Style" w:hAnsi="Bookman Old Style" w:cs="Arial"/>
        </w:rPr>
      </w:pPr>
      <w:r w:rsidRPr="00A54622">
        <w:rPr>
          <w:rFonts w:ascii="Bookman Old Style" w:hAnsi="Bookman Old Style" w:cs="Arial"/>
        </w:rPr>
        <w:t xml:space="preserve">[E]l Tribunal de Apelaciones debe: (1) examinar </w:t>
      </w:r>
      <w:r w:rsidRPr="00A54622">
        <w:rPr>
          <w:rFonts w:ascii="Bookman Old Style" w:hAnsi="Bookman Old Style" w:cs="Arial"/>
          <w:i/>
          <w:iCs/>
        </w:rPr>
        <w:t>de</w:t>
      </w:r>
      <w:r w:rsidRPr="00A54622">
        <w:rPr>
          <w:rFonts w:ascii="Bookman Old Style" w:hAnsi="Bookman Old Style" w:cs="Arial"/>
        </w:rPr>
        <w:t xml:space="preserve"> </w:t>
      </w:r>
      <w:proofErr w:type="spellStart"/>
      <w:r w:rsidRPr="00A54622">
        <w:rPr>
          <w:rFonts w:ascii="Bookman Old Style" w:hAnsi="Bookman Old Style" w:cs="Arial"/>
          <w:i/>
          <w:iCs/>
        </w:rPr>
        <w:t>novo</w:t>
      </w:r>
      <w:proofErr w:type="spellEnd"/>
      <w:r w:rsidRPr="00A54622">
        <w:rPr>
          <w:rFonts w:ascii="Bookman Old Style" w:hAnsi="Bookman Old Style" w:cs="Arial"/>
          <w:i/>
          <w:iCs/>
        </w:rPr>
        <w:t xml:space="preserve"> </w:t>
      </w:r>
      <w:r w:rsidRPr="00A54622">
        <w:rPr>
          <w:rFonts w:ascii="Bookman Old Style" w:hAnsi="Bookman Old Style" w:cs="Arial"/>
        </w:rPr>
        <w:t xml:space="preserve">el expediente y aplicar los criterios que la Regla 36 de Procedimiento Civil, </w:t>
      </w:r>
      <w:r w:rsidRPr="00A54622">
        <w:rPr>
          <w:rFonts w:ascii="Bookman Old Style" w:hAnsi="Bookman Old Style" w:cs="Arial"/>
          <w:i/>
          <w:iCs/>
        </w:rPr>
        <w:t>supra</w:t>
      </w:r>
      <w:r w:rsidRPr="00A54622">
        <w:rPr>
          <w:rFonts w:ascii="Bookman Old Style" w:hAnsi="Bookman Old Style" w:cs="Arial"/>
        </w:rPr>
        <w:t xml:space="preserve">, y la jurisprudencia le exigen al foro primario; (2) revisar que tanto la Moción de Sentencia Sumaria como su oposición cumplan con los requisitos de forma codificados en la referida Regla 36; (3) revisar si en realidad existen hechos materiales en controversia y, de haberlos, cumplir con la exigencia de la Regla 36.4 de Procedimiento Civil, 32 LPRA Ap. V, de exponer concretamente cuáles hechos materiales encontró que están en controversia y cuáles están incontrovertidos, y (4) de encontrar que los hechos materiales realmente están incontrovertidos, debe proceder a revisar </w:t>
      </w:r>
      <w:r w:rsidRPr="00A54622">
        <w:rPr>
          <w:rFonts w:ascii="Bookman Old Style" w:hAnsi="Bookman Old Style" w:cs="Arial"/>
          <w:i/>
          <w:iCs/>
        </w:rPr>
        <w:t>de</w:t>
      </w:r>
      <w:r w:rsidRPr="00A54622">
        <w:rPr>
          <w:rFonts w:ascii="Bookman Old Style" w:hAnsi="Bookman Old Style" w:cs="Arial"/>
        </w:rPr>
        <w:t xml:space="preserve"> </w:t>
      </w:r>
      <w:proofErr w:type="spellStart"/>
      <w:r w:rsidRPr="00A54622">
        <w:rPr>
          <w:rFonts w:ascii="Bookman Old Style" w:hAnsi="Bookman Old Style" w:cs="Arial"/>
          <w:i/>
          <w:iCs/>
        </w:rPr>
        <w:t>novo</w:t>
      </w:r>
      <w:proofErr w:type="spellEnd"/>
      <w:r w:rsidRPr="00A54622">
        <w:rPr>
          <w:rFonts w:ascii="Bookman Old Style" w:hAnsi="Bookman Old Style" w:cs="Arial"/>
          <w:i/>
          <w:iCs/>
        </w:rPr>
        <w:t xml:space="preserve"> </w:t>
      </w:r>
      <w:r w:rsidRPr="00A54622">
        <w:rPr>
          <w:rFonts w:ascii="Bookman Old Style" w:hAnsi="Bookman Old Style" w:cs="Arial"/>
        </w:rPr>
        <w:t xml:space="preserve">si el Tribunal de Primera Instancia aplicó correctamente el Derecho a la controversia. </w:t>
      </w:r>
      <w:r w:rsidRPr="00A54622">
        <w:rPr>
          <w:rFonts w:ascii="Bookman Old Style" w:hAnsi="Bookman Old Style" w:cs="Arial"/>
          <w:i/>
          <w:iCs/>
        </w:rPr>
        <w:t xml:space="preserve">Roldán Flores v. M. Cuebas et al., </w:t>
      </w:r>
      <w:r w:rsidRPr="00A54622">
        <w:rPr>
          <w:rFonts w:ascii="Bookman Old Style" w:hAnsi="Bookman Old Style" w:cs="Arial"/>
        </w:rPr>
        <w:t xml:space="preserve">supra, pág. 679. </w:t>
      </w:r>
    </w:p>
    <w:p w14:paraId="6A9C4486" w14:textId="3C3532F5" w:rsidR="00D040B0" w:rsidRPr="00A54622" w:rsidRDefault="00D040B0" w:rsidP="00D040B0">
      <w:pPr>
        <w:spacing w:line="480" w:lineRule="auto"/>
        <w:ind w:firstLine="720"/>
        <w:contextualSpacing/>
        <w:jc w:val="both"/>
        <w:rPr>
          <w:rFonts w:ascii="Bookman Old Style" w:hAnsi="Bookman Old Style" w:cs="Arial"/>
        </w:rPr>
      </w:pPr>
      <w:r w:rsidRPr="00A54622">
        <w:rPr>
          <w:rFonts w:ascii="Bookman Old Style" w:hAnsi="Bookman Old Style" w:cs="Arial"/>
        </w:rPr>
        <w:t xml:space="preserve">Conforme a lo anterior, nos encontramos en la misma posición que el Tribunal de Primera Instancia para evaluar la procedencia de una sentencia sumaria. </w:t>
      </w:r>
      <w:r w:rsidRPr="00A54622">
        <w:rPr>
          <w:rFonts w:ascii="Bookman Old Style" w:hAnsi="Bookman Old Style" w:cs="Arial"/>
          <w:i/>
          <w:iCs/>
        </w:rPr>
        <w:t>Banco Popular de Puerto Rico v. Cable Media of Puerto Rico, Inc. y otro</w:t>
      </w:r>
      <w:r w:rsidRPr="00A54622">
        <w:rPr>
          <w:rFonts w:ascii="Bookman Old Style" w:hAnsi="Bookman Old Style" w:cs="Arial"/>
        </w:rPr>
        <w:t xml:space="preserve">, 2025 TSPR 1, resuelto el 7 de enero de 2025; </w:t>
      </w:r>
      <w:r w:rsidRPr="00A54622">
        <w:rPr>
          <w:rFonts w:ascii="Bookman Old Style" w:hAnsi="Bookman Old Style" w:cs="Arial"/>
          <w:i/>
          <w:iCs/>
        </w:rPr>
        <w:t>Banco Popular de Puerto Rico v. Zorrilla Posada y otro</w:t>
      </w:r>
      <w:r w:rsidRPr="00A54622">
        <w:rPr>
          <w:rFonts w:ascii="Bookman Old Style" w:hAnsi="Bookman Old Style" w:cs="Arial"/>
        </w:rPr>
        <w:t xml:space="preserve">, supra; </w:t>
      </w:r>
      <w:r w:rsidRPr="00A54622">
        <w:rPr>
          <w:rFonts w:ascii="Bookman Old Style" w:hAnsi="Bookman Old Style" w:cs="Arial"/>
          <w:i/>
          <w:iCs/>
        </w:rPr>
        <w:t xml:space="preserve">Birriel Colón v. </w:t>
      </w:r>
      <w:proofErr w:type="spellStart"/>
      <w:r w:rsidRPr="00A54622">
        <w:rPr>
          <w:rFonts w:ascii="Bookman Old Style" w:hAnsi="Bookman Old Style" w:cs="Arial"/>
          <w:i/>
          <w:iCs/>
        </w:rPr>
        <w:t>Econo</w:t>
      </w:r>
      <w:proofErr w:type="spellEnd"/>
      <w:r w:rsidRPr="00A54622">
        <w:rPr>
          <w:rFonts w:ascii="Bookman Old Style" w:hAnsi="Bookman Old Style" w:cs="Arial"/>
          <w:i/>
          <w:iCs/>
        </w:rPr>
        <w:t xml:space="preserve"> y otro</w:t>
      </w:r>
      <w:r w:rsidRPr="00A54622">
        <w:rPr>
          <w:rFonts w:ascii="Bookman Old Style" w:hAnsi="Bookman Old Style" w:cs="Arial"/>
        </w:rPr>
        <w:t xml:space="preserve">, 213 DPR 80 (2023); </w:t>
      </w:r>
      <w:r w:rsidRPr="00A54622">
        <w:rPr>
          <w:rFonts w:ascii="Bookman Old Style" w:hAnsi="Bookman Old Style" w:cs="Arial"/>
          <w:i/>
          <w:iCs/>
        </w:rPr>
        <w:t xml:space="preserve">Serrano Picón v. </w:t>
      </w:r>
      <w:proofErr w:type="spellStart"/>
      <w:r w:rsidRPr="00A54622">
        <w:rPr>
          <w:rFonts w:ascii="Bookman Old Style" w:hAnsi="Bookman Old Style" w:cs="Arial"/>
          <w:i/>
          <w:iCs/>
        </w:rPr>
        <w:t>Multinational</w:t>
      </w:r>
      <w:proofErr w:type="spellEnd"/>
      <w:r w:rsidRPr="00A54622">
        <w:rPr>
          <w:rFonts w:ascii="Bookman Old Style" w:hAnsi="Bookman Old Style" w:cs="Arial"/>
          <w:i/>
          <w:iCs/>
        </w:rPr>
        <w:t xml:space="preserve"> </w:t>
      </w:r>
      <w:proofErr w:type="spellStart"/>
      <w:r w:rsidRPr="00A54622">
        <w:rPr>
          <w:rFonts w:ascii="Bookman Old Style" w:hAnsi="Bookman Old Style" w:cs="Arial"/>
          <w:i/>
          <w:iCs/>
        </w:rPr>
        <w:t>Life</w:t>
      </w:r>
      <w:proofErr w:type="spellEnd"/>
      <w:r w:rsidRPr="00A54622">
        <w:rPr>
          <w:rFonts w:ascii="Bookman Old Style" w:hAnsi="Bookman Old Style" w:cs="Arial"/>
          <w:i/>
          <w:iCs/>
        </w:rPr>
        <w:t xml:space="preserve"> </w:t>
      </w:r>
      <w:proofErr w:type="spellStart"/>
      <w:r w:rsidRPr="00A54622">
        <w:rPr>
          <w:rFonts w:ascii="Bookman Old Style" w:hAnsi="Bookman Old Style" w:cs="Arial"/>
          <w:i/>
          <w:iCs/>
        </w:rPr>
        <w:t>Ins</w:t>
      </w:r>
      <w:proofErr w:type="spellEnd"/>
      <w:r w:rsidRPr="00A54622">
        <w:rPr>
          <w:rFonts w:ascii="Bookman Old Style" w:hAnsi="Bookman Old Style" w:cs="Arial"/>
          <w:i/>
          <w:iCs/>
        </w:rPr>
        <w:t>.</w:t>
      </w:r>
      <w:r w:rsidRPr="00A54622">
        <w:rPr>
          <w:rFonts w:ascii="Bookman Old Style" w:hAnsi="Bookman Old Style" w:cs="Arial"/>
        </w:rPr>
        <w:t xml:space="preserve">, supra; </w:t>
      </w:r>
      <w:r w:rsidRPr="00A54622">
        <w:rPr>
          <w:rFonts w:ascii="Bookman Old Style" w:hAnsi="Bookman Old Style" w:cs="Arial"/>
          <w:i/>
          <w:iCs/>
        </w:rPr>
        <w:t xml:space="preserve">González Meléndez v. </w:t>
      </w:r>
      <w:proofErr w:type="spellStart"/>
      <w:r w:rsidRPr="00A54622">
        <w:rPr>
          <w:rFonts w:ascii="Bookman Old Style" w:hAnsi="Bookman Old Style" w:cs="Arial"/>
          <w:i/>
          <w:iCs/>
        </w:rPr>
        <w:t>Mun</w:t>
      </w:r>
      <w:proofErr w:type="spellEnd"/>
      <w:r w:rsidRPr="00A54622">
        <w:rPr>
          <w:rFonts w:ascii="Bookman Old Style" w:hAnsi="Bookman Old Style" w:cs="Arial"/>
          <w:i/>
          <w:iCs/>
        </w:rPr>
        <w:t>. San Juan et al.</w:t>
      </w:r>
      <w:r w:rsidRPr="00A54622">
        <w:rPr>
          <w:rFonts w:ascii="Bookman Old Style" w:hAnsi="Bookman Old Style" w:cs="Arial"/>
        </w:rPr>
        <w:t xml:space="preserve">, supra; </w:t>
      </w:r>
      <w:r w:rsidRPr="00A54622">
        <w:rPr>
          <w:rFonts w:ascii="Bookman Old Style" w:hAnsi="Bookman Old Style" w:cs="Arial"/>
          <w:i/>
        </w:rPr>
        <w:t xml:space="preserve">González Santiago v. Baxter </w:t>
      </w:r>
      <w:proofErr w:type="spellStart"/>
      <w:r w:rsidRPr="00A54622">
        <w:rPr>
          <w:rFonts w:ascii="Bookman Old Style" w:hAnsi="Bookman Old Style" w:cs="Arial"/>
          <w:i/>
        </w:rPr>
        <w:t>Healthcare</w:t>
      </w:r>
      <w:proofErr w:type="spellEnd"/>
      <w:r w:rsidRPr="00A54622">
        <w:rPr>
          <w:rFonts w:ascii="Bookman Old Style" w:hAnsi="Bookman Old Style" w:cs="Arial"/>
        </w:rPr>
        <w:t xml:space="preserve">, 202 DPR 281, 291 (2019). Por ello, nuestra revisión es una </w:t>
      </w:r>
      <w:r w:rsidRPr="00A54622">
        <w:rPr>
          <w:rFonts w:ascii="Bookman Old Style" w:hAnsi="Bookman Old Style" w:cs="Arial"/>
          <w:i/>
        </w:rPr>
        <w:t xml:space="preserve">de </w:t>
      </w:r>
      <w:proofErr w:type="spellStart"/>
      <w:r w:rsidRPr="00A54622">
        <w:rPr>
          <w:rFonts w:ascii="Bookman Old Style" w:hAnsi="Bookman Old Style" w:cs="Arial"/>
          <w:i/>
        </w:rPr>
        <w:t>novo</w:t>
      </w:r>
      <w:proofErr w:type="spellEnd"/>
      <w:r w:rsidRPr="00A54622">
        <w:rPr>
          <w:rFonts w:ascii="Bookman Old Style" w:hAnsi="Bookman Old Style" w:cs="Arial"/>
        </w:rPr>
        <w:t xml:space="preserve"> y nuestro análisis debe regirse por las disposiciones de la Regla 36 de Procedimiento Civil, </w:t>
      </w:r>
      <w:r w:rsidRPr="00A54622">
        <w:rPr>
          <w:rFonts w:ascii="Bookman Old Style" w:hAnsi="Bookman Old Style" w:cs="Arial"/>
          <w:i/>
        </w:rPr>
        <w:t>supra</w:t>
      </w:r>
      <w:r w:rsidRPr="00A54622">
        <w:rPr>
          <w:rFonts w:ascii="Bookman Old Style" w:hAnsi="Bookman Old Style" w:cs="Arial"/>
        </w:rPr>
        <w:t xml:space="preserve">, así como de su jurisprudencia interpretativa. </w:t>
      </w:r>
      <w:r w:rsidRPr="00A54622">
        <w:rPr>
          <w:rFonts w:ascii="Bookman Old Style" w:hAnsi="Bookman Old Style" w:cs="Arial"/>
          <w:i/>
          <w:iCs/>
        </w:rPr>
        <w:t xml:space="preserve">González Meléndez v. </w:t>
      </w:r>
      <w:proofErr w:type="spellStart"/>
      <w:r w:rsidRPr="00A54622">
        <w:rPr>
          <w:rFonts w:ascii="Bookman Old Style" w:hAnsi="Bookman Old Style" w:cs="Arial"/>
          <w:i/>
          <w:iCs/>
        </w:rPr>
        <w:t>Mun</w:t>
      </w:r>
      <w:proofErr w:type="spellEnd"/>
      <w:r w:rsidRPr="00A54622">
        <w:rPr>
          <w:rFonts w:ascii="Bookman Old Style" w:hAnsi="Bookman Old Style" w:cs="Arial"/>
          <w:i/>
          <w:iCs/>
        </w:rPr>
        <w:t>. San Juan et al.</w:t>
      </w:r>
      <w:r w:rsidRPr="00A54622">
        <w:rPr>
          <w:rFonts w:ascii="Bookman Old Style" w:hAnsi="Bookman Old Style" w:cs="Arial"/>
        </w:rPr>
        <w:t xml:space="preserve">, supra. </w:t>
      </w:r>
      <w:r w:rsidRPr="00A54622">
        <w:rPr>
          <w:rFonts w:ascii="Bookman Old Style" w:hAnsi="Bookman Old Style" w:cs="Arial"/>
          <w:iCs/>
        </w:rPr>
        <w:t xml:space="preserve">A tenor con la referida normativa, dicha revisión se realizará de la manera más favorable hacia la parte que se opuso a la solicitud de sentencia sumaria en el foro de origen y realizando todas las inferencias permisibles a su favor. </w:t>
      </w:r>
      <w:r w:rsidRPr="00A54622">
        <w:rPr>
          <w:rFonts w:ascii="Bookman Old Style" w:hAnsi="Bookman Old Style" w:cs="Arial"/>
          <w:i/>
          <w:iCs/>
        </w:rPr>
        <w:t xml:space="preserve">Birriel Colón v. </w:t>
      </w:r>
      <w:proofErr w:type="spellStart"/>
      <w:r w:rsidRPr="00A54622">
        <w:rPr>
          <w:rFonts w:ascii="Bookman Old Style" w:hAnsi="Bookman Old Style" w:cs="Arial"/>
          <w:i/>
          <w:iCs/>
        </w:rPr>
        <w:t>Econo</w:t>
      </w:r>
      <w:proofErr w:type="spellEnd"/>
      <w:r w:rsidRPr="00A54622">
        <w:rPr>
          <w:rFonts w:ascii="Bookman Old Style" w:hAnsi="Bookman Old Style" w:cs="Arial"/>
          <w:i/>
          <w:iCs/>
        </w:rPr>
        <w:t xml:space="preserve"> y otro</w:t>
      </w:r>
      <w:r w:rsidRPr="00A54622">
        <w:rPr>
          <w:rFonts w:ascii="Bookman Old Style" w:hAnsi="Bookman Old Style" w:cs="Arial"/>
        </w:rPr>
        <w:t>, supra;</w:t>
      </w:r>
      <w:r w:rsidRPr="00A54622">
        <w:rPr>
          <w:rFonts w:ascii="Bookman Old Style" w:hAnsi="Bookman Old Style" w:cs="Arial"/>
          <w:iCs/>
        </w:rPr>
        <w:t xml:space="preserve"> </w:t>
      </w:r>
      <w:r w:rsidRPr="00A54622">
        <w:rPr>
          <w:rFonts w:ascii="Bookman Old Style" w:hAnsi="Bookman Old Style" w:cs="Arial"/>
          <w:i/>
        </w:rPr>
        <w:t>Meléndez González et al. v. M. Cuebas</w:t>
      </w:r>
      <w:r w:rsidRPr="00A54622">
        <w:rPr>
          <w:rFonts w:ascii="Bookman Old Style" w:hAnsi="Bookman Old Style" w:cs="Arial"/>
          <w:iCs/>
        </w:rPr>
        <w:t xml:space="preserve">, supra, pág. 118. </w:t>
      </w:r>
      <w:r w:rsidRPr="00A54622">
        <w:rPr>
          <w:rFonts w:ascii="Bookman Old Style" w:hAnsi="Bookman Old Style" w:cs="Arial"/>
        </w:rPr>
        <w:t xml:space="preserve">De esta manera, si entendemos que los hechos materiales realmente están incontrovertidos, debemos revisar </w:t>
      </w:r>
      <w:r w:rsidRPr="00A54622">
        <w:rPr>
          <w:rFonts w:ascii="Bookman Old Style" w:hAnsi="Bookman Old Style" w:cs="Arial"/>
          <w:i/>
        </w:rPr>
        <w:t xml:space="preserve">de </w:t>
      </w:r>
      <w:proofErr w:type="spellStart"/>
      <w:r w:rsidRPr="00A54622">
        <w:rPr>
          <w:rFonts w:ascii="Bookman Old Style" w:hAnsi="Bookman Old Style" w:cs="Arial"/>
          <w:i/>
        </w:rPr>
        <w:t>novo</w:t>
      </w:r>
      <w:proofErr w:type="spellEnd"/>
      <w:r w:rsidRPr="00A54622">
        <w:rPr>
          <w:rFonts w:ascii="Bookman Old Style" w:hAnsi="Bookman Old Style" w:cs="Arial"/>
        </w:rPr>
        <w:t xml:space="preserve"> si el foro primario aplicó correctamente el derecho.</w:t>
      </w:r>
      <w:r w:rsidRPr="00A54622">
        <w:rPr>
          <w:rFonts w:ascii="Bookman Old Style" w:hAnsi="Bookman Old Style" w:cs="Arial"/>
          <w:i/>
        </w:rPr>
        <w:t xml:space="preserve"> </w:t>
      </w:r>
      <w:r w:rsidRPr="00A54622">
        <w:rPr>
          <w:rFonts w:ascii="Bookman Old Style" w:hAnsi="Bookman Old Style" w:cs="Arial"/>
          <w:i/>
          <w:iCs/>
        </w:rPr>
        <w:t xml:space="preserve">González Meléndez v. </w:t>
      </w:r>
      <w:proofErr w:type="spellStart"/>
      <w:r w:rsidRPr="00A54622">
        <w:rPr>
          <w:rFonts w:ascii="Bookman Old Style" w:hAnsi="Bookman Old Style" w:cs="Arial"/>
          <w:i/>
          <w:iCs/>
        </w:rPr>
        <w:t>Mun</w:t>
      </w:r>
      <w:proofErr w:type="spellEnd"/>
      <w:r w:rsidRPr="00A54622">
        <w:rPr>
          <w:rFonts w:ascii="Bookman Old Style" w:hAnsi="Bookman Old Style" w:cs="Arial"/>
          <w:i/>
          <w:iCs/>
        </w:rPr>
        <w:t>. San Juan et al.</w:t>
      </w:r>
      <w:r w:rsidRPr="00A54622">
        <w:rPr>
          <w:rFonts w:ascii="Bookman Old Style" w:hAnsi="Bookman Old Style" w:cs="Arial"/>
        </w:rPr>
        <w:t>, supra.</w:t>
      </w:r>
    </w:p>
    <w:p w14:paraId="5FF0A88F" w14:textId="61524D77" w:rsidR="00DE006C" w:rsidRPr="00A54622" w:rsidRDefault="00DE006C" w:rsidP="00D040B0">
      <w:pPr>
        <w:spacing w:line="480" w:lineRule="auto"/>
        <w:ind w:firstLine="720"/>
        <w:contextualSpacing/>
        <w:jc w:val="both"/>
        <w:rPr>
          <w:rFonts w:ascii="Bookman Old Style" w:hAnsi="Bookman Old Style" w:cs="Arial"/>
          <w:b/>
          <w:bCs/>
        </w:rPr>
      </w:pPr>
      <w:r w:rsidRPr="00A54622">
        <w:rPr>
          <w:rFonts w:ascii="Bookman Old Style" w:hAnsi="Bookman Old Style" w:cs="Arial"/>
        </w:rPr>
        <w:tab/>
      </w:r>
      <w:r w:rsidRPr="00A54622">
        <w:rPr>
          <w:rFonts w:ascii="Bookman Old Style" w:hAnsi="Bookman Old Style" w:cs="Arial"/>
        </w:rPr>
        <w:tab/>
      </w:r>
      <w:r w:rsidRPr="00A54622">
        <w:rPr>
          <w:rFonts w:ascii="Bookman Old Style" w:hAnsi="Bookman Old Style" w:cs="Arial"/>
        </w:rPr>
        <w:tab/>
        <w:t xml:space="preserve">            </w:t>
      </w:r>
      <w:r w:rsidRPr="00A54622">
        <w:rPr>
          <w:rFonts w:ascii="Bookman Old Style" w:hAnsi="Bookman Old Style" w:cs="Arial"/>
          <w:b/>
          <w:bCs/>
        </w:rPr>
        <w:t>B</w:t>
      </w:r>
    </w:p>
    <w:p w14:paraId="2BC6029E" w14:textId="3F43CFF5" w:rsidR="006A242D" w:rsidRPr="00A54622" w:rsidRDefault="00DA0473" w:rsidP="006A242D">
      <w:pPr>
        <w:spacing w:line="480" w:lineRule="auto"/>
        <w:ind w:firstLine="720"/>
        <w:contextualSpacing/>
        <w:jc w:val="both"/>
      </w:pPr>
      <w:r w:rsidRPr="00A54622">
        <w:rPr>
          <w:rFonts w:ascii="Bookman Old Style" w:hAnsi="Bookman Old Style" w:cs="Arial"/>
        </w:rPr>
        <w:t>En nuestro ordenamiento jurídico</w:t>
      </w:r>
      <w:r w:rsidR="009F2B28" w:rsidRPr="00A54622">
        <w:rPr>
          <w:rFonts w:ascii="Bookman Old Style" w:hAnsi="Bookman Old Style" w:cs="Arial"/>
        </w:rPr>
        <w:t xml:space="preserve">, el régimen de propiedad </w:t>
      </w:r>
      <w:r w:rsidR="004A579C" w:rsidRPr="00A54622">
        <w:rPr>
          <w:rFonts w:ascii="Bookman Old Style" w:hAnsi="Bookman Old Style" w:cs="Arial"/>
        </w:rPr>
        <w:t>horizontal</w:t>
      </w:r>
      <w:r w:rsidR="009F2B28" w:rsidRPr="00A54622">
        <w:rPr>
          <w:rFonts w:ascii="Bookman Old Style" w:hAnsi="Bookman Old Style" w:cs="Arial"/>
        </w:rPr>
        <w:t xml:space="preserve"> fue adoptado para proveerle al ciudadano </w:t>
      </w:r>
      <w:r w:rsidR="006A242D" w:rsidRPr="00A54622">
        <w:rPr>
          <w:rFonts w:ascii="Bookman Old Style" w:hAnsi="Bookman Old Style" w:cs="Arial"/>
        </w:rPr>
        <w:t>la posibilidad de poder disfrutar</w:t>
      </w:r>
      <w:r w:rsidR="007D3B37" w:rsidRPr="00A54622">
        <w:rPr>
          <w:rFonts w:ascii="Bookman Old Style" w:hAnsi="Bookman Old Style" w:cs="Arial"/>
        </w:rPr>
        <w:t xml:space="preserve"> del derecho a la propiedad plena </w:t>
      </w:r>
      <w:r w:rsidR="00AC3E94" w:rsidRPr="00A54622">
        <w:rPr>
          <w:rFonts w:ascii="Bookman Old Style" w:hAnsi="Bookman Old Style" w:cs="Arial"/>
        </w:rPr>
        <w:t xml:space="preserve">e individual de un inmueble que se encuentra ubicado en un edificio, a la vez </w:t>
      </w:r>
      <w:r w:rsidR="00DC76C4" w:rsidRPr="00A54622">
        <w:rPr>
          <w:rFonts w:ascii="Bookman Old Style" w:hAnsi="Bookman Old Style" w:cs="Arial"/>
        </w:rPr>
        <w:t xml:space="preserve">que se maximiza el uso de los terrenos escasos que se encuentran en el país. </w:t>
      </w:r>
      <w:r w:rsidR="0012461A" w:rsidRPr="00A54622">
        <w:rPr>
          <w:rFonts w:ascii="Bookman Old Style" w:hAnsi="Bookman Old Style" w:cs="Arial"/>
          <w:i/>
          <w:iCs/>
        </w:rPr>
        <w:t>Colón Ortiz</w:t>
      </w:r>
      <w:r w:rsidR="004A579C" w:rsidRPr="00A54622">
        <w:rPr>
          <w:rFonts w:ascii="Bookman Old Style" w:hAnsi="Bookman Old Style" w:cs="Arial"/>
        </w:rPr>
        <w:t xml:space="preserve"> </w:t>
      </w:r>
      <w:r w:rsidR="004A579C" w:rsidRPr="00A54622">
        <w:rPr>
          <w:rFonts w:ascii="Bookman Old Style" w:hAnsi="Bookman Old Style" w:cs="Arial"/>
          <w:i/>
          <w:iCs/>
        </w:rPr>
        <w:t xml:space="preserve">v. </w:t>
      </w:r>
      <w:proofErr w:type="spellStart"/>
      <w:r w:rsidR="004A579C" w:rsidRPr="00A54622">
        <w:rPr>
          <w:rFonts w:ascii="Bookman Old Style" w:hAnsi="Bookman Old Style" w:cs="Arial"/>
          <w:i/>
          <w:iCs/>
        </w:rPr>
        <w:t>Asoc</w:t>
      </w:r>
      <w:proofErr w:type="spellEnd"/>
      <w:r w:rsidR="004A579C" w:rsidRPr="00A54622">
        <w:rPr>
          <w:rFonts w:ascii="Bookman Old Style" w:hAnsi="Bookman Old Style" w:cs="Arial"/>
          <w:i/>
          <w:iCs/>
        </w:rPr>
        <w:t>. Cond. B.T.</w:t>
      </w:r>
      <w:r w:rsidR="00993694" w:rsidRPr="00A54622">
        <w:rPr>
          <w:rFonts w:ascii="Bookman Old Style" w:hAnsi="Bookman Old Style" w:cs="Arial"/>
          <w:i/>
          <w:iCs/>
        </w:rPr>
        <w:t>I</w:t>
      </w:r>
      <w:r w:rsidR="00993694" w:rsidRPr="00A54622">
        <w:rPr>
          <w:rFonts w:ascii="Bookman Old Style" w:hAnsi="Bookman Old Style" w:cs="Arial"/>
        </w:rPr>
        <w:t xml:space="preserve">, 185 DPR 946, </w:t>
      </w:r>
      <w:r w:rsidR="008C2ACF" w:rsidRPr="00A54622">
        <w:rPr>
          <w:rFonts w:ascii="Bookman Old Style" w:hAnsi="Bookman Old Style" w:cs="Arial"/>
        </w:rPr>
        <w:t xml:space="preserve">959 (2012). Bajo este régimen, la propiedad </w:t>
      </w:r>
      <w:r w:rsidR="003C343C" w:rsidRPr="00A54622">
        <w:rPr>
          <w:rFonts w:ascii="Bookman Old Style" w:hAnsi="Bookman Old Style" w:cs="Arial"/>
        </w:rPr>
        <w:t xml:space="preserve">plena e individual de un apartamento, coexiste, con otras propiedades de otros dueños, </w:t>
      </w:r>
      <w:r w:rsidR="002D6974" w:rsidRPr="00A54622">
        <w:rPr>
          <w:rFonts w:ascii="Bookman Old Style" w:hAnsi="Bookman Old Style" w:cs="Arial"/>
        </w:rPr>
        <w:t xml:space="preserve">mientras comparten una serie de áreas comunes que pertenecen a todos como comunidad. </w:t>
      </w:r>
      <w:r w:rsidR="002D6974" w:rsidRPr="00A54622">
        <w:rPr>
          <w:rFonts w:ascii="Bookman Old Style" w:hAnsi="Bookman Old Style" w:cs="Arial"/>
          <w:i/>
          <w:iCs/>
        </w:rPr>
        <w:t>Íd.</w:t>
      </w:r>
      <w:r w:rsidR="002D6974" w:rsidRPr="00A54622">
        <w:t xml:space="preserve"> </w:t>
      </w:r>
    </w:p>
    <w:p w14:paraId="702EFC06" w14:textId="434811A8" w:rsidR="003E40A6" w:rsidRPr="00A54622" w:rsidRDefault="00CD7A7A" w:rsidP="0021012B">
      <w:pPr>
        <w:spacing w:line="480" w:lineRule="auto"/>
        <w:ind w:firstLine="720"/>
        <w:contextualSpacing/>
        <w:jc w:val="both"/>
        <w:rPr>
          <w:rFonts w:ascii="Bookman Old Style" w:hAnsi="Bookman Old Style" w:cs="Arial"/>
          <w:lang w:val="es-MX"/>
        </w:rPr>
      </w:pPr>
      <w:r w:rsidRPr="00A54622">
        <w:rPr>
          <w:rFonts w:ascii="Bookman Old Style" w:hAnsi="Bookman Old Style" w:cs="Arial"/>
        </w:rPr>
        <w:t xml:space="preserve">En lo que atiene la </w:t>
      </w:r>
      <w:r w:rsidR="002F1774" w:rsidRPr="00A54622">
        <w:rPr>
          <w:rFonts w:ascii="Bookman Old Style" w:hAnsi="Bookman Old Style" w:cs="Arial"/>
        </w:rPr>
        <w:t>controversia ante</w:t>
      </w:r>
      <w:r w:rsidR="00BF13E3" w:rsidRPr="00A54622">
        <w:rPr>
          <w:rFonts w:ascii="Bookman Old Style" w:hAnsi="Bookman Old Style" w:cs="Arial"/>
        </w:rPr>
        <w:t xml:space="preserve"> nuestra consideración, el agente administrador es aquella persona designada</w:t>
      </w:r>
      <w:r w:rsidR="0063581F" w:rsidRPr="00A54622">
        <w:rPr>
          <w:rFonts w:ascii="Bookman Old Style" w:hAnsi="Bookman Old Style" w:cs="Arial"/>
        </w:rPr>
        <w:t xml:space="preserve"> por el Consejo de Titulares para administrar la operación diaria del condominio</w:t>
      </w:r>
      <w:r w:rsidR="00CA3C01" w:rsidRPr="00A54622">
        <w:rPr>
          <w:rFonts w:ascii="Bookman Old Style" w:hAnsi="Bookman Old Style" w:cs="Arial"/>
        </w:rPr>
        <w:t xml:space="preserve">, bajo la supervisión del </w:t>
      </w:r>
      <w:r w:rsidR="002F1774" w:rsidRPr="00A54622">
        <w:rPr>
          <w:rFonts w:ascii="Bookman Old Style" w:hAnsi="Bookman Old Style" w:cs="Arial"/>
        </w:rPr>
        <w:t>director</w:t>
      </w:r>
      <w:r w:rsidR="00CA3C01" w:rsidRPr="00A54622">
        <w:rPr>
          <w:rFonts w:ascii="Bookman Old Style" w:hAnsi="Bookman Old Style" w:cs="Arial"/>
        </w:rPr>
        <w:t xml:space="preserve"> de la Junta de </w:t>
      </w:r>
      <w:proofErr w:type="gramStart"/>
      <w:r w:rsidR="00CA3C01" w:rsidRPr="00A54622">
        <w:rPr>
          <w:rFonts w:ascii="Bookman Old Style" w:hAnsi="Bookman Old Style" w:cs="Arial"/>
        </w:rPr>
        <w:t>Directores</w:t>
      </w:r>
      <w:proofErr w:type="gramEnd"/>
      <w:r w:rsidR="00CA3C01" w:rsidRPr="00A54622">
        <w:rPr>
          <w:rFonts w:ascii="Bookman Old Style" w:hAnsi="Bookman Old Style" w:cs="Arial"/>
        </w:rPr>
        <w:t>.</w:t>
      </w:r>
      <w:r w:rsidR="00E47BBF" w:rsidRPr="00A54622">
        <w:rPr>
          <w:rFonts w:ascii="Bookman Old Style" w:hAnsi="Bookman Old Style" w:cs="Arial"/>
        </w:rPr>
        <w:t xml:space="preserve"> Artículo 3 (d) </w:t>
      </w:r>
      <w:r w:rsidR="002F1774" w:rsidRPr="00A54622">
        <w:rPr>
          <w:rFonts w:ascii="Bookman Old Style" w:hAnsi="Bookman Old Style" w:cs="Arial"/>
        </w:rPr>
        <w:t xml:space="preserve">de </w:t>
      </w:r>
      <w:r w:rsidR="002F1774" w:rsidRPr="00A54622">
        <w:rPr>
          <w:rFonts w:ascii="Bookman Old Style" w:hAnsi="Bookman Old Style" w:cs="Arial"/>
          <w:lang w:val="es-MX"/>
        </w:rPr>
        <w:t xml:space="preserve">la Ley Núm. 129 de 2020, mejor conocida la </w:t>
      </w:r>
      <w:r w:rsidR="002F1774" w:rsidRPr="00A54622">
        <w:rPr>
          <w:rFonts w:ascii="Bookman Old Style" w:hAnsi="Bookman Old Style" w:cs="Arial"/>
          <w:i/>
          <w:iCs/>
          <w:lang w:val="es-MX"/>
        </w:rPr>
        <w:t>Ley de Condominios de Puerto Rico</w:t>
      </w:r>
      <w:r w:rsidR="002F1774" w:rsidRPr="00A54622">
        <w:rPr>
          <w:rFonts w:ascii="Bookman Old Style" w:hAnsi="Bookman Old Style" w:cs="Arial"/>
          <w:lang w:val="es-MX"/>
        </w:rPr>
        <w:t xml:space="preserve">, </w:t>
      </w:r>
      <w:r w:rsidR="002F1774" w:rsidRPr="00A54622">
        <w:rPr>
          <w:rFonts w:ascii="Bookman Old Style" w:hAnsi="Bookman Old Style"/>
        </w:rPr>
        <w:t xml:space="preserve">31 LPRA sec. 1921b. </w:t>
      </w:r>
      <w:r w:rsidR="00DB5DBB" w:rsidRPr="00A54622">
        <w:rPr>
          <w:rFonts w:ascii="Bookman Old Style" w:hAnsi="Bookman Old Style" w:cs="Arial"/>
          <w:lang w:val="es-MX"/>
        </w:rPr>
        <w:t xml:space="preserve">Interpretando la figura del agente administrador en el régimen de propiedad horizontal, el Tribunal Supremo ha resuelto que este será considerado un mandatario sujeto a las disposiciones de esta figura jurídica del Código Civil, atemperándose a la </w:t>
      </w:r>
      <w:r w:rsidR="00DB5DBB" w:rsidRPr="00A54622">
        <w:rPr>
          <w:rFonts w:ascii="Bookman Old Style" w:hAnsi="Bookman Old Style" w:cs="Arial"/>
          <w:i/>
          <w:iCs/>
          <w:lang w:val="es-MX"/>
        </w:rPr>
        <w:t>Ley de Condominios de Puerto Rico</w:t>
      </w:r>
      <w:r w:rsidR="00DB5DBB" w:rsidRPr="00A54622">
        <w:rPr>
          <w:rFonts w:ascii="Bookman Old Style" w:hAnsi="Bookman Old Style" w:cs="Arial"/>
          <w:lang w:val="es-MX"/>
        </w:rPr>
        <w:t xml:space="preserve">, supra. </w:t>
      </w:r>
      <w:r w:rsidR="00DB5DBB" w:rsidRPr="00A54622">
        <w:rPr>
          <w:rFonts w:ascii="Bookman Old Style" w:hAnsi="Bookman Old Style" w:cs="Arial"/>
          <w:i/>
          <w:iCs/>
        </w:rPr>
        <w:t>Colón Ortiz</w:t>
      </w:r>
      <w:r w:rsidR="00DB5DBB" w:rsidRPr="00A54622">
        <w:rPr>
          <w:rFonts w:ascii="Bookman Old Style" w:hAnsi="Bookman Old Style" w:cs="Arial"/>
        </w:rPr>
        <w:t xml:space="preserve"> </w:t>
      </w:r>
      <w:r w:rsidR="00DB5DBB" w:rsidRPr="00A54622">
        <w:rPr>
          <w:rFonts w:ascii="Bookman Old Style" w:hAnsi="Bookman Old Style" w:cs="Arial"/>
          <w:i/>
          <w:iCs/>
        </w:rPr>
        <w:t xml:space="preserve">v. </w:t>
      </w:r>
      <w:proofErr w:type="spellStart"/>
      <w:r w:rsidR="00DB5DBB" w:rsidRPr="00A54622">
        <w:rPr>
          <w:rFonts w:ascii="Bookman Old Style" w:hAnsi="Bookman Old Style" w:cs="Arial"/>
          <w:i/>
          <w:iCs/>
        </w:rPr>
        <w:t>Asoc</w:t>
      </w:r>
      <w:proofErr w:type="spellEnd"/>
      <w:r w:rsidR="00DB5DBB" w:rsidRPr="00A54622">
        <w:rPr>
          <w:rFonts w:ascii="Bookman Old Style" w:hAnsi="Bookman Old Style" w:cs="Arial"/>
          <w:i/>
          <w:iCs/>
        </w:rPr>
        <w:t>. Cond. B.T.I</w:t>
      </w:r>
      <w:r w:rsidR="00DB5DBB" w:rsidRPr="00A54622">
        <w:rPr>
          <w:rFonts w:ascii="Bookman Old Style" w:hAnsi="Bookman Old Style" w:cs="Arial"/>
        </w:rPr>
        <w:t xml:space="preserve">, supra. en la pág. 967. </w:t>
      </w:r>
      <w:r w:rsidR="00F8501B" w:rsidRPr="00A54622">
        <w:rPr>
          <w:rFonts w:ascii="Bookman Old Style" w:hAnsi="Bookman Old Style"/>
        </w:rPr>
        <w:t>El Artículo 49</w:t>
      </w:r>
      <w:r w:rsidR="00D37232" w:rsidRPr="00A54622">
        <w:rPr>
          <w:rFonts w:ascii="Bookman Old Style" w:hAnsi="Bookman Old Style"/>
        </w:rPr>
        <w:t xml:space="preserve"> a (2)</w:t>
      </w:r>
      <w:r w:rsidR="00F8501B" w:rsidRPr="00A54622">
        <w:rPr>
          <w:rFonts w:ascii="Bookman Old Style" w:hAnsi="Bookman Old Style"/>
        </w:rPr>
        <w:t xml:space="preserve"> de </w:t>
      </w:r>
      <w:r w:rsidR="00F8501B" w:rsidRPr="00A54622">
        <w:rPr>
          <w:rFonts w:ascii="Bookman Old Style" w:hAnsi="Bookman Old Style" w:cs="Arial"/>
          <w:i/>
          <w:iCs/>
          <w:lang w:val="es-MX"/>
        </w:rPr>
        <w:t>Ley de Condominios de Puerto Rico</w:t>
      </w:r>
      <w:r w:rsidR="00F8501B" w:rsidRPr="00A54622">
        <w:rPr>
          <w:rFonts w:ascii="Bookman Old Style" w:hAnsi="Bookman Old Style" w:cs="Arial"/>
          <w:lang w:val="es-MX"/>
        </w:rPr>
        <w:t xml:space="preserve">, </w:t>
      </w:r>
      <w:r w:rsidR="00272AD9" w:rsidRPr="00A54622">
        <w:rPr>
          <w:rFonts w:ascii="Bookman Old Style" w:hAnsi="Bookman Old Style" w:cs="Arial"/>
          <w:lang w:val="es-MX"/>
        </w:rPr>
        <w:t xml:space="preserve">31 L.P.R.A § 1922u, establece </w:t>
      </w:r>
      <w:r w:rsidR="00A57DB9" w:rsidRPr="00A54622">
        <w:rPr>
          <w:rFonts w:ascii="Bookman Old Style" w:hAnsi="Bookman Old Style" w:cs="Arial"/>
          <w:lang w:val="es-MX"/>
        </w:rPr>
        <w:t>que,</w:t>
      </w:r>
      <w:r w:rsidR="00272AD9" w:rsidRPr="00A54622">
        <w:rPr>
          <w:rFonts w:ascii="Bookman Old Style" w:hAnsi="Bookman Old Style" w:cs="Arial"/>
          <w:lang w:val="es-MX"/>
        </w:rPr>
        <w:t xml:space="preserve"> </w:t>
      </w:r>
      <w:r w:rsidR="000D5664" w:rsidRPr="00A54622">
        <w:rPr>
          <w:rFonts w:ascii="Bookman Old Style" w:hAnsi="Bookman Old Style" w:cs="Arial"/>
          <w:lang w:val="es-MX"/>
        </w:rPr>
        <w:t>para la selección del agente administrador</w:t>
      </w:r>
      <w:r w:rsidR="004D6A59" w:rsidRPr="00A54622">
        <w:rPr>
          <w:rFonts w:ascii="Bookman Old Style" w:hAnsi="Bookman Old Style" w:cs="Arial"/>
          <w:lang w:val="es-MX"/>
        </w:rPr>
        <w:t>, este puede ser una persona natural o jur</w:t>
      </w:r>
      <w:proofErr w:type="spellStart"/>
      <w:r w:rsidR="004D6A59" w:rsidRPr="00A54622">
        <w:rPr>
          <w:rFonts w:ascii="Bookman Old Style" w:hAnsi="Bookman Old Style" w:cs="Arial"/>
        </w:rPr>
        <w:t>ídica</w:t>
      </w:r>
      <w:proofErr w:type="spellEnd"/>
      <w:r w:rsidR="004D6A59" w:rsidRPr="00A54622">
        <w:rPr>
          <w:rFonts w:ascii="Bookman Old Style" w:hAnsi="Bookman Old Style" w:cs="Arial"/>
        </w:rPr>
        <w:t xml:space="preserve">, quien </w:t>
      </w:r>
      <w:r w:rsidR="00F61C62" w:rsidRPr="00A54622">
        <w:rPr>
          <w:rFonts w:ascii="Bookman Old Style" w:hAnsi="Bookman Old Style" w:cs="Arial"/>
        </w:rPr>
        <w:t xml:space="preserve">a su vez podrá ser o no parte de la comunidad de titulares, y es en quien el Consejo de Titulares o la Junta de </w:t>
      </w:r>
      <w:proofErr w:type="gramStart"/>
      <w:r w:rsidR="00F61C62" w:rsidRPr="00A54622">
        <w:rPr>
          <w:rFonts w:ascii="Bookman Old Style" w:hAnsi="Bookman Old Style" w:cs="Arial"/>
        </w:rPr>
        <w:t>Directores</w:t>
      </w:r>
      <w:proofErr w:type="gramEnd"/>
      <w:r w:rsidR="00F61C62" w:rsidRPr="00A54622">
        <w:rPr>
          <w:rFonts w:ascii="Bookman Old Style" w:hAnsi="Bookman Old Style" w:cs="Arial"/>
        </w:rPr>
        <w:t xml:space="preserve"> </w:t>
      </w:r>
      <w:r w:rsidR="000136DD" w:rsidRPr="00A54622">
        <w:rPr>
          <w:rFonts w:ascii="Bookman Old Style" w:hAnsi="Bookman Old Style" w:cs="Arial"/>
        </w:rPr>
        <w:t xml:space="preserve">podrá delegar </w:t>
      </w:r>
      <w:r w:rsidR="009428A4" w:rsidRPr="00A54622">
        <w:rPr>
          <w:rFonts w:ascii="Bookman Old Style" w:hAnsi="Bookman Old Style" w:cs="Arial"/>
        </w:rPr>
        <w:t xml:space="preserve">las facultades y deberes que se puedan </w:t>
      </w:r>
      <w:r w:rsidR="00121C93" w:rsidRPr="00A54622">
        <w:rPr>
          <w:rFonts w:ascii="Bookman Old Style" w:hAnsi="Bookman Old Style" w:cs="Arial"/>
        </w:rPr>
        <w:t>conforme el</w:t>
      </w:r>
      <w:r w:rsidR="009428A4" w:rsidRPr="00A54622">
        <w:rPr>
          <w:rFonts w:ascii="Bookman Old Style" w:hAnsi="Bookman Old Style" w:cs="Arial"/>
        </w:rPr>
        <w:t xml:space="preserve"> reglamento.</w:t>
      </w:r>
      <w:r w:rsidR="00D81537" w:rsidRPr="00A54622">
        <w:rPr>
          <w:rFonts w:ascii="Bookman Old Style" w:hAnsi="Bookman Old Style" w:cs="Arial"/>
        </w:rPr>
        <w:t xml:space="preserve"> </w:t>
      </w:r>
      <w:r w:rsidR="00384A4A" w:rsidRPr="00A54622">
        <w:rPr>
          <w:rFonts w:ascii="Bookman Old Style" w:hAnsi="Bookman Old Style" w:cs="Arial"/>
        </w:rPr>
        <w:t>En el sub</w:t>
      </w:r>
      <w:r w:rsidR="005A220A" w:rsidRPr="00A54622">
        <w:rPr>
          <w:rFonts w:ascii="Bookman Old Style" w:hAnsi="Bookman Old Style" w:cs="Arial"/>
        </w:rPr>
        <w:t xml:space="preserve"> </w:t>
      </w:r>
      <w:r w:rsidR="00384A4A" w:rsidRPr="00A54622">
        <w:rPr>
          <w:rFonts w:ascii="Bookman Old Style" w:hAnsi="Bookman Old Style" w:cs="Arial"/>
        </w:rPr>
        <w:t>in</w:t>
      </w:r>
      <w:r w:rsidR="005A220A" w:rsidRPr="00A54622">
        <w:rPr>
          <w:rFonts w:ascii="Bookman Old Style" w:hAnsi="Bookman Old Style" w:cs="Arial"/>
        </w:rPr>
        <w:t>c</w:t>
      </w:r>
      <w:r w:rsidR="00384A4A" w:rsidRPr="00A54622">
        <w:rPr>
          <w:rFonts w:ascii="Bookman Old Style" w:hAnsi="Bookman Old Style" w:cs="Arial"/>
        </w:rPr>
        <w:t>i</w:t>
      </w:r>
      <w:r w:rsidR="005A220A" w:rsidRPr="00A54622">
        <w:rPr>
          <w:rFonts w:ascii="Bookman Old Style" w:hAnsi="Bookman Old Style" w:cs="Arial"/>
        </w:rPr>
        <w:t>s</w:t>
      </w:r>
      <w:r w:rsidR="00384A4A" w:rsidRPr="00A54622">
        <w:rPr>
          <w:rFonts w:ascii="Bookman Old Style" w:hAnsi="Bookman Old Style" w:cs="Arial"/>
        </w:rPr>
        <w:t>o</w:t>
      </w:r>
      <w:r w:rsidR="005A220A" w:rsidRPr="00A54622">
        <w:rPr>
          <w:rFonts w:ascii="Bookman Old Style" w:hAnsi="Bookman Old Style" w:cs="Arial"/>
        </w:rPr>
        <w:t xml:space="preserve"> </w:t>
      </w:r>
      <w:proofErr w:type="spellStart"/>
      <w:r w:rsidR="005A220A" w:rsidRPr="00A54622">
        <w:rPr>
          <w:rFonts w:ascii="Bookman Old Style" w:hAnsi="Bookman Old Style" w:cs="Arial"/>
        </w:rPr>
        <w:t>iii</w:t>
      </w:r>
      <w:proofErr w:type="spellEnd"/>
      <w:r w:rsidR="005A220A" w:rsidRPr="00A54622">
        <w:rPr>
          <w:rFonts w:ascii="Bookman Old Style" w:hAnsi="Bookman Old Style" w:cs="Arial"/>
        </w:rPr>
        <w:t xml:space="preserve"> del </w:t>
      </w:r>
      <w:r w:rsidR="005A220A" w:rsidRPr="00A54622">
        <w:rPr>
          <w:rFonts w:ascii="Bookman Old Style" w:hAnsi="Bookman Old Style"/>
        </w:rPr>
        <w:t xml:space="preserve">Artículo 49 a (2) de </w:t>
      </w:r>
      <w:r w:rsidR="005A220A" w:rsidRPr="00A54622">
        <w:rPr>
          <w:rFonts w:ascii="Bookman Old Style" w:hAnsi="Bookman Old Style" w:cs="Arial"/>
          <w:i/>
          <w:iCs/>
          <w:lang w:val="es-MX"/>
        </w:rPr>
        <w:t>Ley de Condominios de Puerto Rico</w:t>
      </w:r>
      <w:r w:rsidR="005A220A" w:rsidRPr="00A54622">
        <w:rPr>
          <w:rFonts w:ascii="Bookman Old Style" w:hAnsi="Bookman Old Style" w:cs="Arial"/>
          <w:lang w:val="es-MX"/>
        </w:rPr>
        <w:t xml:space="preserve">, supra, </w:t>
      </w:r>
      <w:r w:rsidR="003E40A6" w:rsidRPr="00A54622">
        <w:rPr>
          <w:rFonts w:ascii="Bookman Old Style" w:hAnsi="Bookman Old Style" w:cs="Arial"/>
          <w:lang w:val="es-MX"/>
        </w:rPr>
        <w:t>se establece que:</w:t>
      </w:r>
    </w:p>
    <w:p w14:paraId="252D19CD" w14:textId="77777777" w:rsidR="003E40A6" w:rsidRPr="00A54622" w:rsidRDefault="003E40A6" w:rsidP="003E40A6">
      <w:pPr>
        <w:ind w:left="720" w:right="720"/>
        <w:contextualSpacing/>
        <w:jc w:val="both"/>
        <w:rPr>
          <w:rFonts w:ascii="Bookman Old Style" w:hAnsi="Bookman Old Style"/>
        </w:rPr>
      </w:pPr>
      <w:r w:rsidRPr="00A54622">
        <w:rPr>
          <w:rFonts w:ascii="Bookman Old Style" w:hAnsi="Bookman Old Style"/>
        </w:rPr>
        <w:t xml:space="preserve">En caso de un cambio de Agente Administrador, el Agente Administrador saliente deberá entregar mediante un acuse de recibo, todos los registros, documentos, llaves y propiedades pertenecientes al Consejo de Titulares al momento de ser requeridos por la Junta de </w:t>
      </w:r>
      <w:proofErr w:type="gramStart"/>
      <w:r w:rsidRPr="00A54622">
        <w:rPr>
          <w:rFonts w:ascii="Bookman Old Style" w:hAnsi="Bookman Old Style"/>
        </w:rPr>
        <w:t>Directores</w:t>
      </w:r>
      <w:proofErr w:type="gramEnd"/>
      <w:r w:rsidRPr="00A54622">
        <w:rPr>
          <w:rFonts w:ascii="Bookman Old Style" w:hAnsi="Bookman Old Style"/>
        </w:rPr>
        <w:t xml:space="preserve"> y se prohíbe la retención de estos. De existir alguna controversia sobre su terminación como Agente Administrador, este deberá presentar una reclamación judicial o someter el asunto a mediación de conflictos, pero en ningún caso podrá retener los registros, documentos y demás propiedad cuya entrega requiere este inciso.</w:t>
      </w:r>
    </w:p>
    <w:p w14:paraId="003F1E75" w14:textId="12A948E3" w:rsidR="003F4A31" w:rsidRPr="00A54622" w:rsidRDefault="003E40A6" w:rsidP="003E40A6">
      <w:pPr>
        <w:ind w:left="720" w:right="720"/>
        <w:contextualSpacing/>
        <w:jc w:val="both"/>
        <w:rPr>
          <w:rFonts w:ascii="Bookman Old Style" w:hAnsi="Bookman Old Style" w:cs="Arial"/>
        </w:rPr>
      </w:pPr>
      <w:r w:rsidRPr="00A54622">
        <w:rPr>
          <w:rFonts w:ascii="Bookman Old Style" w:hAnsi="Bookman Old Style"/>
        </w:rPr>
        <w:t xml:space="preserve"> En caso de un Agente Administrador que sea a su vez un titular del condominio que administraría, no podrá mantener deudas de cuotas de mantenimiento, derramas, y/o primas de pólizas matrices del condominio y durante su vigencia</w:t>
      </w:r>
      <w:r w:rsidRPr="00A54622">
        <w:t>.</w:t>
      </w:r>
      <w:r w:rsidR="00384A4A" w:rsidRPr="00A54622">
        <w:rPr>
          <w:rFonts w:ascii="Bookman Old Style" w:hAnsi="Bookman Old Style" w:cs="Arial"/>
        </w:rPr>
        <w:t xml:space="preserve"> </w:t>
      </w:r>
    </w:p>
    <w:p w14:paraId="035DF05B" w14:textId="45DA75E6" w:rsidR="00833BF9" w:rsidRPr="00A54622" w:rsidRDefault="00833BF9" w:rsidP="00833BF9">
      <w:pPr>
        <w:ind w:right="720"/>
        <w:contextualSpacing/>
        <w:jc w:val="both"/>
        <w:rPr>
          <w:rFonts w:ascii="Bookman Old Style" w:hAnsi="Bookman Old Style" w:cs="Arial"/>
        </w:rPr>
      </w:pPr>
    </w:p>
    <w:p w14:paraId="68E9E426" w14:textId="6EDDCAD1" w:rsidR="00833BF9" w:rsidRPr="00A54622" w:rsidRDefault="00833BF9" w:rsidP="00833BF9">
      <w:pPr>
        <w:spacing w:line="480" w:lineRule="auto"/>
        <w:contextualSpacing/>
        <w:jc w:val="both"/>
        <w:rPr>
          <w:rFonts w:ascii="Bookman Old Style" w:hAnsi="Bookman Old Style" w:cs="Arial"/>
          <w:lang w:val="es-MX"/>
        </w:rPr>
      </w:pPr>
      <w:r w:rsidRPr="00A54622">
        <w:rPr>
          <w:rFonts w:ascii="Bookman Old Style" w:hAnsi="Bookman Old Style" w:cs="Arial"/>
        </w:rPr>
        <w:tab/>
        <w:t xml:space="preserve">Sobre el término de duración del agente administrador, el </w:t>
      </w:r>
      <w:r w:rsidRPr="00A54622">
        <w:rPr>
          <w:rFonts w:ascii="Bookman Old Style" w:hAnsi="Bookman Old Style"/>
        </w:rPr>
        <w:t xml:space="preserve">Artículo </w:t>
      </w:r>
      <w:proofErr w:type="gramStart"/>
      <w:r w:rsidRPr="00A54622">
        <w:rPr>
          <w:rFonts w:ascii="Bookman Old Style" w:hAnsi="Bookman Old Style"/>
        </w:rPr>
        <w:t>49a(</w:t>
      </w:r>
      <w:proofErr w:type="gramEnd"/>
      <w:r w:rsidRPr="00A54622">
        <w:rPr>
          <w:rFonts w:ascii="Bookman Old Style" w:hAnsi="Bookman Old Style"/>
        </w:rPr>
        <w:t xml:space="preserve">2) de </w:t>
      </w:r>
      <w:r w:rsidRPr="00A54622">
        <w:rPr>
          <w:rFonts w:ascii="Bookman Old Style" w:hAnsi="Bookman Old Style" w:cs="Arial"/>
          <w:i/>
          <w:iCs/>
          <w:lang w:val="es-MX"/>
        </w:rPr>
        <w:t>Ley de Condominios de Puerto Rico</w:t>
      </w:r>
      <w:r w:rsidRPr="00A54622">
        <w:rPr>
          <w:rFonts w:ascii="Bookman Old Style" w:hAnsi="Bookman Old Style" w:cs="Arial"/>
          <w:lang w:val="es-MX"/>
        </w:rPr>
        <w:t xml:space="preserve">, supra, dispone que </w:t>
      </w:r>
      <w:r w:rsidR="00455739" w:rsidRPr="00A54622">
        <w:rPr>
          <w:rFonts w:ascii="Bookman Old Style" w:hAnsi="Bookman Old Style" w:cs="Arial"/>
          <w:lang w:val="es-MX"/>
        </w:rPr>
        <w:t xml:space="preserve">“salvo que el reglamento disponga otra cosa estos nombramientos serán por un año”. </w:t>
      </w:r>
      <w:r w:rsidR="005E28D6" w:rsidRPr="00A54622">
        <w:rPr>
          <w:rFonts w:ascii="Bookman Old Style" w:hAnsi="Bookman Old Style" w:cs="Arial"/>
          <w:lang w:val="es-MX"/>
        </w:rPr>
        <w:t>En el Art</w:t>
      </w:r>
      <w:proofErr w:type="spellStart"/>
      <w:r w:rsidR="005E28D6" w:rsidRPr="00A54622">
        <w:rPr>
          <w:rFonts w:ascii="Bookman Old Style" w:hAnsi="Bookman Old Style" w:cs="Arial"/>
        </w:rPr>
        <w:t>ículo</w:t>
      </w:r>
      <w:proofErr w:type="spellEnd"/>
      <w:r w:rsidR="005E28D6" w:rsidRPr="00A54622">
        <w:rPr>
          <w:rFonts w:ascii="Bookman Old Style" w:hAnsi="Bookman Old Style" w:cs="Arial"/>
        </w:rPr>
        <w:t xml:space="preserve"> </w:t>
      </w:r>
      <w:r w:rsidR="00D9174D" w:rsidRPr="00A54622">
        <w:rPr>
          <w:rFonts w:ascii="Bookman Old Style" w:hAnsi="Bookman Old Style" w:cs="Arial"/>
        </w:rPr>
        <w:t xml:space="preserve">53 (K) de la </w:t>
      </w:r>
      <w:r w:rsidR="00D9174D" w:rsidRPr="00A54622">
        <w:rPr>
          <w:rFonts w:ascii="Bookman Old Style" w:hAnsi="Bookman Old Style" w:cs="Arial"/>
          <w:i/>
          <w:iCs/>
          <w:lang w:val="es-MX"/>
        </w:rPr>
        <w:t>Ley de Condominios de Puerto Rico</w:t>
      </w:r>
      <w:r w:rsidR="00D9174D" w:rsidRPr="00A54622">
        <w:rPr>
          <w:rFonts w:ascii="Bookman Old Style" w:hAnsi="Bookman Old Style" w:cs="Arial"/>
          <w:lang w:val="es-MX"/>
        </w:rPr>
        <w:t xml:space="preserve">, 31 LPRA </w:t>
      </w:r>
      <w:r w:rsidR="00E85360" w:rsidRPr="00A54622">
        <w:rPr>
          <w:rFonts w:ascii="Bookman Old Style" w:hAnsi="Bookman Old Style" w:cs="Arial"/>
          <w:lang w:val="es-MX"/>
        </w:rPr>
        <w:t xml:space="preserve">sec. 1922y, </w:t>
      </w:r>
      <w:r w:rsidR="00136FF9" w:rsidRPr="00A54622">
        <w:rPr>
          <w:rFonts w:ascii="Bookman Old Style" w:hAnsi="Bookman Old Style" w:cs="Arial"/>
          <w:lang w:val="es-MX"/>
        </w:rPr>
        <w:t xml:space="preserve">se le </w:t>
      </w:r>
      <w:r w:rsidR="00E85360" w:rsidRPr="00A54622">
        <w:rPr>
          <w:rFonts w:ascii="Bookman Old Style" w:hAnsi="Bookman Old Style" w:cs="Arial"/>
          <w:lang w:val="es-MX"/>
        </w:rPr>
        <w:t>otorga al director o la junta de directores</w:t>
      </w:r>
      <w:r w:rsidR="007660D6" w:rsidRPr="00A54622">
        <w:rPr>
          <w:rFonts w:ascii="Bookman Old Style" w:hAnsi="Bookman Old Style" w:cs="Arial"/>
          <w:lang w:val="es-MX"/>
        </w:rPr>
        <w:t xml:space="preserve">, quienes constituyen el órgano ejecutivo de la comunidad de </w:t>
      </w:r>
      <w:r w:rsidR="0017223A" w:rsidRPr="00A54622">
        <w:rPr>
          <w:rFonts w:ascii="Bookman Old Style" w:hAnsi="Bookman Old Style" w:cs="Arial"/>
          <w:lang w:val="es-MX"/>
        </w:rPr>
        <w:t>titulares, la</w:t>
      </w:r>
      <w:r w:rsidR="0021704F" w:rsidRPr="00A54622">
        <w:rPr>
          <w:rFonts w:ascii="Bookman Old Style" w:hAnsi="Bookman Old Style" w:cs="Arial"/>
          <w:lang w:val="es-MX"/>
        </w:rPr>
        <w:t xml:space="preserve"> facultad de:</w:t>
      </w:r>
    </w:p>
    <w:p w14:paraId="010F3C8E" w14:textId="1A5CEED6" w:rsidR="0021704F" w:rsidRPr="00A54622" w:rsidRDefault="0021704F" w:rsidP="0021704F">
      <w:pPr>
        <w:ind w:left="720" w:right="720"/>
        <w:contextualSpacing/>
        <w:jc w:val="both"/>
        <w:rPr>
          <w:rFonts w:ascii="Bookman Old Style" w:hAnsi="Bookman Old Style"/>
        </w:rPr>
      </w:pPr>
      <w:r w:rsidRPr="00A54622">
        <w:rPr>
          <w:rFonts w:ascii="Bookman Old Style" w:hAnsi="Bookman Old Style"/>
        </w:rPr>
        <w:t xml:space="preserve">Relevar de sus funciones al Agente Administrador por justa causa. Se entenderá por justa causa, el desempeño negligente o culposo de sus funciones, la deshonestidad o la violación de las normas de buena conducta establecidas en el reglamento del condominio o el incumplimiento de sus deberes establecidos contractualmente. El </w:t>
      </w:r>
      <w:proofErr w:type="gramStart"/>
      <w:r w:rsidRPr="00A54622">
        <w:rPr>
          <w:rFonts w:ascii="Bookman Old Style" w:hAnsi="Bookman Old Style"/>
        </w:rPr>
        <w:t>Director</w:t>
      </w:r>
      <w:proofErr w:type="gramEnd"/>
      <w:r w:rsidRPr="00A54622">
        <w:rPr>
          <w:rFonts w:ascii="Bookman Old Style" w:hAnsi="Bookman Old Style"/>
        </w:rPr>
        <w:t xml:space="preserve"> o la Junta de Directores deberá convocar al Consejo de Titulares no más tarde de treinta (30) días del relevo para informar de dicha acción, a fin de que éste actúe según estime conveniente.</w:t>
      </w:r>
    </w:p>
    <w:p w14:paraId="7A433C7D" w14:textId="77777777" w:rsidR="001D769B" w:rsidRPr="00A54622" w:rsidRDefault="001D769B" w:rsidP="0021704F">
      <w:pPr>
        <w:ind w:left="720" w:right="720"/>
        <w:contextualSpacing/>
        <w:jc w:val="both"/>
        <w:rPr>
          <w:rFonts w:ascii="Bookman Old Style" w:hAnsi="Bookman Old Style" w:cs="Arial"/>
        </w:rPr>
      </w:pPr>
    </w:p>
    <w:p w14:paraId="515699FE" w14:textId="1FBF3D27" w:rsidR="00E625EF" w:rsidRPr="00A54622" w:rsidRDefault="001D769B" w:rsidP="00833BF9">
      <w:pPr>
        <w:spacing w:line="480" w:lineRule="auto"/>
        <w:contextualSpacing/>
        <w:jc w:val="both"/>
        <w:rPr>
          <w:rFonts w:ascii="Bookman Old Style" w:hAnsi="Bookman Old Style" w:cs="Arial"/>
        </w:rPr>
      </w:pPr>
      <w:r w:rsidRPr="00A54622">
        <w:rPr>
          <w:rFonts w:ascii="Bookman Old Style" w:hAnsi="Bookman Old Style" w:cs="Arial"/>
          <w:lang w:val="es-MX"/>
        </w:rPr>
        <w:tab/>
      </w:r>
      <w:r w:rsidR="002E65DB" w:rsidRPr="00A54622">
        <w:rPr>
          <w:rFonts w:ascii="Bookman Old Style" w:hAnsi="Bookman Old Style" w:cs="Arial"/>
          <w:lang w:val="es-MX"/>
        </w:rPr>
        <w:t xml:space="preserve">Interpretando </w:t>
      </w:r>
      <w:r w:rsidR="00F5642D" w:rsidRPr="00A54622">
        <w:rPr>
          <w:rFonts w:ascii="Bookman Old Style" w:hAnsi="Bookman Old Style" w:cs="Arial"/>
          <w:lang w:val="es-MX"/>
        </w:rPr>
        <w:t xml:space="preserve">la remoción del agente administrador, el Tribunal Supremo ha expresado que </w:t>
      </w:r>
      <w:r w:rsidR="003E1187" w:rsidRPr="00A54622">
        <w:rPr>
          <w:rFonts w:ascii="Bookman Old Style" w:hAnsi="Bookman Old Style" w:cs="Arial"/>
          <w:lang w:val="es-MX"/>
        </w:rPr>
        <w:t>“e</w:t>
      </w:r>
      <w:r w:rsidR="00D20B5B" w:rsidRPr="00A54622">
        <w:rPr>
          <w:rFonts w:ascii="Bookman Old Style" w:hAnsi="Bookman Old Style" w:cs="Arial"/>
          <w:lang w:val="es-MX"/>
        </w:rPr>
        <w:t>l Consejo de Titulares también puede prescindir del Agente Administrador negándose a renovar el contrato anual</w:t>
      </w:r>
      <w:r w:rsidR="003E1187" w:rsidRPr="00A54622">
        <w:rPr>
          <w:rFonts w:ascii="Bookman Old Style" w:hAnsi="Bookman Old Style" w:cs="Arial"/>
          <w:lang w:val="es-MX"/>
        </w:rPr>
        <w:t>”</w:t>
      </w:r>
      <w:r w:rsidR="00EF4225" w:rsidRPr="00A54622">
        <w:rPr>
          <w:rFonts w:ascii="Bookman Old Style" w:hAnsi="Bookman Old Style" w:cs="Arial"/>
          <w:lang w:val="es-MX"/>
        </w:rPr>
        <w:t xml:space="preserve">. </w:t>
      </w:r>
      <w:r w:rsidR="00EF4225" w:rsidRPr="00A54622">
        <w:rPr>
          <w:rFonts w:ascii="Bookman Old Style" w:hAnsi="Bookman Old Style" w:cs="Arial"/>
          <w:i/>
          <w:iCs/>
        </w:rPr>
        <w:t>Colón Ortiz</w:t>
      </w:r>
      <w:r w:rsidR="00EF4225" w:rsidRPr="00A54622">
        <w:rPr>
          <w:rFonts w:ascii="Bookman Old Style" w:hAnsi="Bookman Old Style" w:cs="Arial"/>
        </w:rPr>
        <w:t xml:space="preserve"> </w:t>
      </w:r>
      <w:r w:rsidR="00EF4225" w:rsidRPr="00A54622">
        <w:rPr>
          <w:rFonts w:ascii="Bookman Old Style" w:hAnsi="Bookman Old Style" w:cs="Arial"/>
          <w:i/>
          <w:iCs/>
        </w:rPr>
        <w:t xml:space="preserve">v. </w:t>
      </w:r>
      <w:proofErr w:type="spellStart"/>
      <w:r w:rsidR="00EF4225" w:rsidRPr="00A54622">
        <w:rPr>
          <w:rFonts w:ascii="Bookman Old Style" w:hAnsi="Bookman Old Style" w:cs="Arial"/>
          <w:i/>
          <w:iCs/>
        </w:rPr>
        <w:t>Asoc</w:t>
      </w:r>
      <w:proofErr w:type="spellEnd"/>
      <w:r w:rsidR="00EF4225" w:rsidRPr="00A54622">
        <w:rPr>
          <w:rFonts w:ascii="Bookman Old Style" w:hAnsi="Bookman Old Style" w:cs="Arial"/>
          <w:i/>
          <w:iCs/>
        </w:rPr>
        <w:t>. Cond. B.T.I</w:t>
      </w:r>
      <w:r w:rsidR="00EF4225" w:rsidRPr="00A54622">
        <w:rPr>
          <w:rFonts w:ascii="Bookman Old Style" w:hAnsi="Bookman Old Style" w:cs="Arial"/>
        </w:rPr>
        <w:t>, supra. en la pág. 974-975.</w:t>
      </w:r>
      <w:r w:rsidR="00857676" w:rsidRPr="00A54622">
        <w:rPr>
          <w:rFonts w:ascii="Bookman Old Style" w:hAnsi="Bookman Old Style" w:cs="Arial"/>
        </w:rPr>
        <w:t xml:space="preserve"> </w:t>
      </w:r>
      <w:r w:rsidR="00D07477" w:rsidRPr="00A54622">
        <w:rPr>
          <w:rFonts w:ascii="Bookman Old Style" w:hAnsi="Bookman Old Style" w:cs="Arial"/>
        </w:rPr>
        <w:t xml:space="preserve">Estableciendo, de igual modo, que esta facultad de poder remover de manera liberal al agente administrador demuestra </w:t>
      </w:r>
      <w:r w:rsidR="000C4499" w:rsidRPr="00A54622">
        <w:rPr>
          <w:rFonts w:ascii="Bookman Old Style" w:hAnsi="Bookman Old Style" w:cs="Arial"/>
        </w:rPr>
        <w:t xml:space="preserve">que es un mandatario, pues a este último también se le puede revocar su contrato de manera unilateral y sin justa causa. </w:t>
      </w:r>
      <w:r w:rsidR="000C4499" w:rsidRPr="00A54622">
        <w:rPr>
          <w:rFonts w:ascii="Bookman Old Style" w:hAnsi="Bookman Old Style" w:cs="Arial"/>
          <w:i/>
          <w:iCs/>
        </w:rPr>
        <w:t>Íd.</w:t>
      </w:r>
      <w:r w:rsidR="000C4499" w:rsidRPr="00A54622">
        <w:rPr>
          <w:rFonts w:ascii="Bookman Old Style" w:hAnsi="Bookman Old Style" w:cs="Arial"/>
        </w:rPr>
        <w:t xml:space="preserve"> </w:t>
      </w:r>
      <w:r w:rsidR="005734E5" w:rsidRPr="00A54622">
        <w:rPr>
          <w:rFonts w:ascii="Bookman Old Style" w:hAnsi="Bookman Old Style" w:cs="Arial"/>
        </w:rPr>
        <w:t xml:space="preserve">Por otro lado, </w:t>
      </w:r>
      <w:r w:rsidR="00D147B4" w:rsidRPr="00A54622">
        <w:rPr>
          <w:rFonts w:ascii="Bookman Old Style" w:hAnsi="Bookman Old Style" w:cs="Arial"/>
        </w:rPr>
        <w:t>nuestro más alto foro</w:t>
      </w:r>
      <w:r w:rsidR="00136AEB" w:rsidRPr="00A54622">
        <w:rPr>
          <w:rFonts w:ascii="Bookman Old Style" w:hAnsi="Bookman Old Style" w:cs="Arial"/>
        </w:rPr>
        <w:t xml:space="preserve"> ha expresado:</w:t>
      </w:r>
    </w:p>
    <w:p w14:paraId="0699BD7D" w14:textId="4A82CE2A" w:rsidR="00136AEB" w:rsidRPr="00A54622" w:rsidRDefault="00136AEB" w:rsidP="00136AEB">
      <w:pPr>
        <w:ind w:left="720" w:right="720"/>
        <w:contextualSpacing/>
        <w:jc w:val="both"/>
        <w:rPr>
          <w:rFonts w:ascii="Bookman Old Style" w:hAnsi="Bookman Old Style" w:cs="Arial"/>
        </w:rPr>
      </w:pPr>
      <w:r w:rsidRPr="00A54622">
        <w:rPr>
          <w:rFonts w:ascii="Bookman Old Style" w:hAnsi="Bookman Old Style" w:cs="Arial"/>
        </w:rPr>
        <w:t xml:space="preserve">La exigencia de justa causa para la remoción del Agente Administrador únicamente aplica a la Junta de </w:t>
      </w:r>
      <w:proofErr w:type="gramStart"/>
      <w:r w:rsidRPr="00A54622">
        <w:rPr>
          <w:rFonts w:ascii="Bookman Old Style" w:hAnsi="Bookman Old Style" w:cs="Arial"/>
        </w:rPr>
        <w:t>Directores</w:t>
      </w:r>
      <w:proofErr w:type="gramEnd"/>
      <w:r w:rsidRPr="00A54622">
        <w:rPr>
          <w:rFonts w:ascii="Bookman Old Style" w:hAnsi="Bookman Old Style" w:cs="Arial"/>
        </w:rPr>
        <w:t>, no al Consejo de Titulares, cuyo poder de remoción es absoluto y unilateral, aunque el Reglamento del condominio puede limitar esta autoridad. Por lo tanto, en Puerto Rico, cuando se remueve a un </w:t>
      </w:r>
      <w:r w:rsidRPr="00A54622">
        <w:rPr>
          <w:rStyle w:val="Emphasis"/>
          <w:rFonts w:ascii="Bookman Old Style" w:hAnsi="Bookman Old Style" w:cs="Arial"/>
        </w:rPr>
        <w:t>agente administrador</w:t>
      </w:r>
      <w:r w:rsidRPr="00A54622">
        <w:rPr>
          <w:rFonts w:ascii="Bookman Old Style" w:hAnsi="Bookman Old Style" w:cs="Arial"/>
        </w:rPr>
        <w:t>, no habrá indemnización más allá del re</w:t>
      </w:r>
      <w:r w:rsidR="002421F8" w:rsidRPr="00A54622">
        <w:rPr>
          <w:rFonts w:ascii="Bookman Old Style" w:hAnsi="Bookman Old Style" w:cs="Arial"/>
        </w:rPr>
        <w:t>e</w:t>
      </w:r>
      <w:r w:rsidRPr="00A54622">
        <w:rPr>
          <w:rFonts w:ascii="Bookman Old Style" w:hAnsi="Bookman Old Style" w:cs="Arial"/>
        </w:rPr>
        <w:t>mbolso que le corresponde, como mandatario, por los gastos incurridos. Ahora bien, </w:t>
      </w:r>
      <w:r w:rsidRPr="00A54622">
        <w:rPr>
          <w:rStyle w:val="Emphasis"/>
          <w:rFonts w:ascii="Bookman Old Style" w:hAnsi="Bookman Old Style" w:cs="Arial"/>
          <w:i w:val="0"/>
          <w:iCs w:val="0"/>
        </w:rPr>
        <w:t>si el contrato entre el condominio y el Administrador-mandatario incluye beneficios como vacaciones, bono de navidad y otros, y éstos han sido acumulados o se le deben, el condominio deberá efectuar dichos pagos.</w:t>
      </w:r>
      <w:r w:rsidRPr="00A54622">
        <w:rPr>
          <w:rFonts w:ascii="Bookman Old Style" w:hAnsi="Bookman Old Style" w:cs="Arial"/>
          <w:i/>
          <w:iCs/>
        </w:rPr>
        <w:t> </w:t>
      </w:r>
      <w:r w:rsidRPr="00A54622">
        <w:rPr>
          <w:rFonts w:ascii="Bookman Old Style" w:hAnsi="Bookman Old Style" w:cs="Arial"/>
        </w:rPr>
        <w:t>La doctrina de </w:t>
      </w:r>
      <w:r w:rsidRPr="00A54622">
        <w:rPr>
          <w:rStyle w:val="Emphasis"/>
          <w:rFonts w:ascii="Bookman Old Style" w:hAnsi="Bookman Old Style" w:cs="Arial"/>
        </w:rPr>
        <w:t xml:space="preserve">pacta sunt </w:t>
      </w:r>
      <w:proofErr w:type="spellStart"/>
      <w:r w:rsidRPr="00A54622">
        <w:rPr>
          <w:rStyle w:val="Emphasis"/>
          <w:rFonts w:ascii="Bookman Old Style" w:hAnsi="Bookman Old Style" w:cs="Arial"/>
        </w:rPr>
        <w:t>servanda</w:t>
      </w:r>
      <w:proofErr w:type="spellEnd"/>
      <w:r w:rsidRPr="00A54622">
        <w:rPr>
          <w:rFonts w:ascii="Bookman Old Style" w:hAnsi="Bookman Old Style" w:cs="Arial"/>
        </w:rPr>
        <w:t> así lo exige. Incluso, como explica Batlle Vázquez, pueden existir “cláusulas de permanencia mayor en el cargo que, sin mengua de la posible remoción por parte de la asamblea, obligue a indemnizar los despidos injustos o anticipados al plazo convenido”. Por consiguiente, el Agente Administrador que sea despedido antes del término estipulado en su contrato no tendrá derecho a compensación por los salarios dejados de percibir, pero sí a los salarios por el trabajo ya realizado y cualesquiera otros beneficios debidos según la relación contractual particular, salvo que el contrato disponga otra cosa</w:t>
      </w:r>
      <w:r w:rsidR="00286BA3" w:rsidRPr="00A54622">
        <w:rPr>
          <w:rFonts w:ascii="Bookman Old Style" w:hAnsi="Bookman Old Style" w:cs="Arial"/>
        </w:rPr>
        <w:t xml:space="preserve">. </w:t>
      </w:r>
      <w:r w:rsidR="002B6645" w:rsidRPr="00A54622">
        <w:rPr>
          <w:rFonts w:ascii="Bookman Old Style" w:hAnsi="Bookman Old Style" w:cs="Arial"/>
          <w:i/>
          <w:iCs/>
        </w:rPr>
        <w:t>Colón Ortiz</w:t>
      </w:r>
      <w:r w:rsidR="002B6645" w:rsidRPr="00A54622">
        <w:rPr>
          <w:rFonts w:ascii="Bookman Old Style" w:hAnsi="Bookman Old Style" w:cs="Arial"/>
        </w:rPr>
        <w:t xml:space="preserve"> </w:t>
      </w:r>
      <w:r w:rsidR="002B6645" w:rsidRPr="00A54622">
        <w:rPr>
          <w:rFonts w:ascii="Bookman Old Style" w:hAnsi="Bookman Old Style" w:cs="Arial"/>
          <w:i/>
          <w:iCs/>
        </w:rPr>
        <w:t xml:space="preserve">v. </w:t>
      </w:r>
      <w:proofErr w:type="spellStart"/>
      <w:r w:rsidR="002B6645" w:rsidRPr="00A54622">
        <w:rPr>
          <w:rFonts w:ascii="Bookman Old Style" w:hAnsi="Bookman Old Style" w:cs="Arial"/>
          <w:i/>
          <w:iCs/>
        </w:rPr>
        <w:t>Asoc</w:t>
      </w:r>
      <w:proofErr w:type="spellEnd"/>
      <w:r w:rsidR="002B6645" w:rsidRPr="00A54622">
        <w:rPr>
          <w:rFonts w:ascii="Bookman Old Style" w:hAnsi="Bookman Old Style" w:cs="Arial"/>
          <w:i/>
          <w:iCs/>
        </w:rPr>
        <w:t>. Cond. B.T.I</w:t>
      </w:r>
      <w:r w:rsidR="002B6645" w:rsidRPr="00A54622">
        <w:rPr>
          <w:rFonts w:ascii="Bookman Old Style" w:hAnsi="Bookman Old Style" w:cs="Arial"/>
        </w:rPr>
        <w:t>, supra. en la pág. 975-976.</w:t>
      </w:r>
    </w:p>
    <w:p w14:paraId="25D772DC" w14:textId="25CC58DE" w:rsidR="00532AB5" w:rsidRPr="00A54622" w:rsidRDefault="00532AB5" w:rsidP="00532AB5">
      <w:pPr>
        <w:ind w:right="720"/>
        <w:contextualSpacing/>
        <w:jc w:val="both"/>
        <w:rPr>
          <w:rFonts w:ascii="Bookman Old Style" w:hAnsi="Bookman Old Style" w:cs="Arial"/>
        </w:rPr>
      </w:pPr>
    </w:p>
    <w:p w14:paraId="6A4E1B73" w14:textId="77777777" w:rsidR="00655D75" w:rsidRPr="00A54622" w:rsidRDefault="00532AB5" w:rsidP="00AE4312">
      <w:pPr>
        <w:spacing w:line="480" w:lineRule="auto"/>
        <w:contextualSpacing/>
        <w:jc w:val="both"/>
        <w:rPr>
          <w:rFonts w:ascii="Bookman Old Style" w:hAnsi="Bookman Old Style"/>
        </w:rPr>
      </w:pPr>
      <w:r w:rsidRPr="00A54622">
        <w:rPr>
          <w:rFonts w:ascii="Bookman Old Style" w:hAnsi="Bookman Old Style" w:cs="Arial"/>
        </w:rPr>
        <w:tab/>
      </w:r>
      <w:r w:rsidR="00762D00" w:rsidRPr="00A54622">
        <w:rPr>
          <w:rFonts w:ascii="Bookman Old Style" w:hAnsi="Bookman Old Style" w:cs="Arial"/>
        </w:rPr>
        <w:t xml:space="preserve">Por otro lado, </w:t>
      </w:r>
      <w:r w:rsidR="00D04D07" w:rsidRPr="00A54622">
        <w:rPr>
          <w:rFonts w:ascii="Bookman Old Style" w:hAnsi="Bookman Old Style" w:cs="Arial"/>
        </w:rPr>
        <w:t xml:space="preserve">el Artículo 65 </w:t>
      </w:r>
      <w:r w:rsidR="00AE4312" w:rsidRPr="00A54622">
        <w:rPr>
          <w:rFonts w:ascii="Bookman Old Style" w:hAnsi="Bookman Old Style" w:cs="Arial"/>
        </w:rPr>
        <w:t xml:space="preserve">de la </w:t>
      </w:r>
      <w:r w:rsidR="00AE4312" w:rsidRPr="00A54622">
        <w:rPr>
          <w:rFonts w:ascii="Bookman Old Style" w:hAnsi="Bookman Old Style" w:cs="Arial"/>
          <w:i/>
          <w:iCs/>
        </w:rPr>
        <w:t>Ley de Condominios de Puerto Rico</w:t>
      </w:r>
      <w:r w:rsidR="00AE4312" w:rsidRPr="00A54622">
        <w:rPr>
          <w:rFonts w:ascii="Bookman Old Style" w:hAnsi="Bookman Old Style" w:cs="Arial"/>
        </w:rPr>
        <w:t xml:space="preserve">, 31 LPRA sec. 1923j, </w:t>
      </w:r>
      <w:r w:rsidR="001878B6" w:rsidRPr="00A54622">
        <w:rPr>
          <w:rFonts w:ascii="Bookman Old Style" w:hAnsi="Bookman Old Style" w:cs="Arial"/>
        </w:rPr>
        <w:t>regula lo relacionado</w:t>
      </w:r>
      <w:r w:rsidR="00DF696B" w:rsidRPr="00A54622">
        <w:rPr>
          <w:rFonts w:ascii="Bookman Old Style" w:hAnsi="Bookman Old Style" w:cs="Arial"/>
        </w:rPr>
        <w:t xml:space="preserve"> a las impugnaciones de las acciones u omisiones de la junta de directores, administrador interino y acuerdos y determinaciones del consejo. </w:t>
      </w:r>
      <w:r w:rsidR="00842E60" w:rsidRPr="00A54622">
        <w:rPr>
          <w:rFonts w:ascii="Bookman Old Style" w:hAnsi="Bookman Old Style" w:cs="Arial"/>
        </w:rPr>
        <w:t>Sobre las mismas</w:t>
      </w:r>
      <w:r w:rsidR="00E60F2D" w:rsidRPr="00A54622">
        <w:rPr>
          <w:rFonts w:ascii="Bookman Old Style" w:hAnsi="Bookman Old Style" w:cs="Arial"/>
        </w:rPr>
        <w:t>,</w:t>
      </w:r>
      <w:r w:rsidR="00842E60" w:rsidRPr="00A54622">
        <w:rPr>
          <w:rFonts w:ascii="Bookman Old Style" w:hAnsi="Bookman Old Style" w:cs="Arial"/>
        </w:rPr>
        <w:t xml:space="preserve"> establece que</w:t>
      </w:r>
      <w:r w:rsidR="00613AAF" w:rsidRPr="00A54622">
        <w:rPr>
          <w:rFonts w:ascii="Bookman Old Style" w:hAnsi="Bookman Old Style" w:cs="Arial"/>
        </w:rPr>
        <w:t xml:space="preserve"> estas podrán ser impugnadas por los </w:t>
      </w:r>
      <w:r w:rsidR="00613AAF" w:rsidRPr="00A54622">
        <w:rPr>
          <w:rFonts w:ascii="Bookman Old Style" w:hAnsi="Bookman Old Style"/>
        </w:rPr>
        <w:t>titulares</w:t>
      </w:r>
      <w:r w:rsidR="00655D75" w:rsidRPr="00A54622">
        <w:rPr>
          <w:rFonts w:ascii="Bookman Old Style" w:hAnsi="Bookman Old Style"/>
        </w:rPr>
        <w:t>, en los siguientes supuestos:</w:t>
      </w:r>
    </w:p>
    <w:p w14:paraId="0C80FC7C" w14:textId="15B79CD2" w:rsidR="00881474" w:rsidRPr="00A54622" w:rsidRDefault="00881474" w:rsidP="00B56539">
      <w:pPr>
        <w:tabs>
          <w:tab w:val="left" w:pos="1080"/>
        </w:tabs>
        <w:ind w:left="720" w:right="720"/>
        <w:contextualSpacing/>
        <w:jc w:val="both"/>
        <w:rPr>
          <w:rFonts w:ascii="Bookman Old Style" w:hAnsi="Bookman Old Style"/>
        </w:rPr>
      </w:pPr>
      <w:r w:rsidRPr="00A54622">
        <w:rPr>
          <w:rFonts w:ascii="Bookman Old Style" w:hAnsi="Bookman Old Style"/>
        </w:rPr>
        <w:t xml:space="preserve">a) </w:t>
      </w:r>
      <w:r w:rsidR="00B56539" w:rsidRPr="00A54622">
        <w:rPr>
          <w:rFonts w:ascii="Bookman Old Style" w:hAnsi="Bookman Old Style"/>
        </w:rPr>
        <w:tab/>
      </w:r>
      <w:r w:rsidRPr="00A54622">
        <w:rPr>
          <w:rFonts w:ascii="Bookman Old Style" w:hAnsi="Bookman Old Style"/>
        </w:rPr>
        <w:t xml:space="preserve">cuando sean contrarios a esta Ley, la escritura matriz y reglamento del condominio; </w:t>
      </w:r>
    </w:p>
    <w:p w14:paraId="2888B57A" w14:textId="77777777" w:rsidR="00881474" w:rsidRPr="00A54622" w:rsidRDefault="00881474" w:rsidP="00B56539">
      <w:pPr>
        <w:tabs>
          <w:tab w:val="left" w:pos="1080"/>
        </w:tabs>
        <w:ind w:left="720" w:right="720"/>
        <w:contextualSpacing/>
        <w:jc w:val="both"/>
        <w:rPr>
          <w:rFonts w:ascii="Bookman Old Style" w:hAnsi="Bookman Old Style"/>
        </w:rPr>
      </w:pPr>
      <w:r w:rsidRPr="00A54622">
        <w:rPr>
          <w:rFonts w:ascii="Bookman Old Style" w:hAnsi="Bookman Old Style"/>
        </w:rPr>
        <w:t>b) cuando resulten gravemente perjudiciales a los intereses de la comunidad o a un titular;</w:t>
      </w:r>
    </w:p>
    <w:p w14:paraId="5BF320C7" w14:textId="4007F06B" w:rsidR="00881474" w:rsidRPr="00A54622" w:rsidRDefault="00881474" w:rsidP="00B56539">
      <w:pPr>
        <w:tabs>
          <w:tab w:val="left" w:pos="1080"/>
        </w:tabs>
        <w:ind w:left="720" w:right="720"/>
        <w:contextualSpacing/>
        <w:jc w:val="both"/>
        <w:rPr>
          <w:rFonts w:ascii="Bookman Old Style" w:hAnsi="Bookman Old Style"/>
        </w:rPr>
      </w:pPr>
      <w:r w:rsidRPr="00A54622">
        <w:rPr>
          <w:rFonts w:ascii="Bookman Old Style" w:hAnsi="Bookman Old Style"/>
        </w:rPr>
        <w:t xml:space="preserve">c) </w:t>
      </w:r>
      <w:r w:rsidR="00B56539" w:rsidRPr="00A54622">
        <w:rPr>
          <w:rFonts w:ascii="Bookman Old Style" w:hAnsi="Bookman Old Style"/>
        </w:rPr>
        <w:tab/>
      </w:r>
      <w:r w:rsidRPr="00A54622">
        <w:rPr>
          <w:rFonts w:ascii="Bookman Old Style" w:hAnsi="Bookman Old Style"/>
        </w:rPr>
        <w:t xml:space="preserve">cuando resulten gravemente perjudiciales para algún titular que no tenga obligación jurídica para soportarlo y no haya sido previsible al momento de la compra. </w:t>
      </w:r>
    </w:p>
    <w:p w14:paraId="70BF92A2" w14:textId="77777777" w:rsidR="00DF49BE" w:rsidRPr="00A54622" w:rsidRDefault="00DF49BE" w:rsidP="00DF49BE">
      <w:pPr>
        <w:ind w:left="720" w:right="720"/>
        <w:contextualSpacing/>
        <w:jc w:val="both"/>
        <w:rPr>
          <w:rFonts w:ascii="Bookman Old Style" w:hAnsi="Bookman Old Style"/>
        </w:rPr>
      </w:pPr>
    </w:p>
    <w:p w14:paraId="62A6A31B" w14:textId="3C5B0101" w:rsidR="00881474" w:rsidRPr="00A54622" w:rsidRDefault="00881474" w:rsidP="00DF49BE">
      <w:pPr>
        <w:ind w:left="720" w:right="720"/>
        <w:contextualSpacing/>
        <w:jc w:val="both"/>
        <w:rPr>
          <w:rFonts w:ascii="Bookman Old Style" w:hAnsi="Bookman Old Style"/>
        </w:rPr>
      </w:pPr>
      <w:r w:rsidRPr="00A54622">
        <w:rPr>
          <w:rFonts w:ascii="Bookman Old Style" w:hAnsi="Bookman Old Style"/>
        </w:rPr>
        <w:t>Los titulares que sean dueños de apartamentos en condominios que sean dedicados exclusivamente a uso comercial, tendrán que presentar la impugnación ante el Tribunal de Primera Instancia, el cual tendrá jurisdicción primaria y exclusiva. En el caso de</w:t>
      </w:r>
      <w:r w:rsidR="006157A4" w:rsidRPr="00A54622">
        <w:rPr>
          <w:rFonts w:ascii="Bookman Old Style" w:hAnsi="Bookman Old Style"/>
        </w:rPr>
        <w:t xml:space="preserve"> que</w:t>
      </w:r>
      <w:r w:rsidRPr="00A54622">
        <w:rPr>
          <w:rFonts w:ascii="Bookman Old Style" w:hAnsi="Bookman Old Style"/>
        </w:rPr>
        <w:t xml:space="preserve"> los titulares sean dueños de apartamentos en condominios con al menos un apartamento de uso residencial, la jurisdicción será primaria y exclusiva del Departamento de Asuntos del Consumidor, así como cualquier reclamación presentada en contra del agente administrador.</w:t>
      </w:r>
    </w:p>
    <w:p w14:paraId="5F4106E8" w14:textId="77777777" w:rsidR="00DF49BE" w:rsidRPr="00A54622" w:rsidRDefault="00DF49BE" w:rsidP="00DF49BE">
      <w:pPr>
        <w:ind w:left="720" w:right="720"/>
        <w:contextualSpacing/>
        <w:jc w:val="both"/>
        <w:rPr>
          <w:rFonts w:ascii="Bookman Old Style" w:hAnsi="Bookman Old Style"/>
        </w:rPr>
      </w:pPr>
    </w:p>
    <w:p w14:paraId="63660EBD" w14:textId="1AEBFA8E" w:rsidR="00390DC3" w:rsidRPr="00A54622" w:rsidRDefault="00881474" w:rsidP="00DF49BE">
      <w:pPr>
        <w:ind w:left="720" w:right="720"/>
        <w:contextualSpacing/>
        <w:jc w:val="both"/>
        <w:rPr>
          <w:rFonts w:ascii="Bookman Old Style" w:hAnsi="Bookman Old Style"/>
        </w:rPr>
      </w:pPr>
      <w:r w:rsidRPr="00A54622">
        <w:rPr>
          <w:rFonts w:ascii="Bookman Old Style" w:hAnsi="Bookman Old Style"/>
        </w:rPr>
        <w:t xml:space="preserve">Para todo tipo de impugnación se tendrán treinta (30) días contados a partir de la fecha en que se tomó dicho acuerdo o determinación, si se hizo en su presencia, o dentro de los treinta (30) días siguientes a la fecha en que recibe la notificación del acuerdo, si el titular afectado no estuvo presente en el momento en que se llegó a tal acuerdo o determinación. </w:t>
      </w:r>
    </w:p>
    <w:p w14:paraId="53DD2F58" w14:textId="77777777" w:rsidR="00DF49BE" w:rsidRPr="00A54622" w:rsidRDefault="00DF49BE" w:rsidP="00DF49BE">
      <w:pPr>
        <w:ind w:left="720" w:right="720"/>
        <w:contextualSpacing/>
        <w:jc w:val="both"/>
        <w:rPr>
          <w:rFonts w:ascii="Bookman Old Style" w:hAnsi="Bookman Old Style"/>
        </w:rPr>
      </w:pPr>
    </w:p>
    <w:p w14:paraId="702CFF75" w14:textId="676E1A2F" w:rsidR="00390DC3" w:rsidRPr="00A54622" w:rsidRDefault="00881474" w:rsidP="00DF49BE">
      <w:pPr>
        <w:ind w:left="720" w:right="720"/>
        <w:contextualSpacing/>
        <w:jc w:val="both"/>
        <w:rPr>
          <w:rFonts w:ascii="Bookman Old Style" w:hAnsi="Bookman Old Style"/>
        </w:rPr>
      </w:pPr>
      <w:r w:rsidRPr="00A54622">
        <w:rPr>
          <w:rFonts w:ascii="Bookman Old Style" w:hAnsi="Bookman Old Style"/>
        </w:rPr>
        <w:t xml:space="preserve">En el caso de que la acción de impugnación de acuerdos, acciones u omisiones de la Junta de </w:t>
      </w:r>
      <w:proofErr w:type="gramStart"/>
      <w:r w:rsidRPr="00A54622">
        <w:rPr>
          <w:rFonts w:ascii="Bookman Old Style" w:hAnsi="Bookman Old Style"/>
        </w:rPr>
        <w:t>Directores</w:t>
      </w:r>
      <w:proofErr w:type="gramEnd"/>
      <w:r w:rsidRPr="00A54622">
        <w:rPr>
          <w:rFonts w:ascii="Bookman Old Style" w:hAnsi="Bookman Old Style"/>
        </w:rPr>
        <w:t xml:space="preserve">, del Administrador Interino, del Agente Administrador o del Consejo de Titulares, constituyan violaciones a las disposiciones de esta Ley, de la escritura matriz o del reglamento del condominio, prescribirá a los dos (2) años. El término se computará a partir de la fecha en que se tomó la acción, omisión o acuerdo si fue en la presencia del titular o a partir de la notificación de este si no fue en su presencia. El acuerdo tiene que haberse notificado conforme a las disposiciones de esta Ley. </w:t>
      </w:r>
    </w:p>
    <w:p w14:paraId="05EF6767" w14:textId="77777777" w:rsidR="00DF49BE" w:rsidRPr="00A54622" w:rsidRDefault="00DF49BE" w:rsidP="00DF49BE">
      <w:pPr>
        <w:ind w:left="720" w:right="720"/>
        <w:contextualSpacing/>
        <w:jc w:val="both"/>
        <w:rPr>
          <w:rFonts w:ascii="Bookman Old Style" w:hAnsi="Bookman Old Style"/>
        </w:rPr>
      </w:pPr>
    </w:p>
    <w:p w14:paraId="2B79FD3D" w14:textId="4C5E843A" w:rsidR="00532AB5" w:rsidRPr="00A54622" w:rsidRDefault="00881474" w:rsidP="00DF49BE">
      <w:pPr>
        <w:ind w:left="720" w:right="720"/>
        <w:contextualSpacing/>
        <w:jc w:val="both"/>
        <w:rPr>
          <w:rFonts w:ascii="Bookman Old Style" w:hAnsi="Bookman Old Style"/>
        </w:rPr>
      </w:pPr>
      <w:r w:rsidRPr="00A54622">
        <w:rPr>
          <w:rFonts w:ascii="Bookman Old Style" w:hAnsi="Bookman Old Style"/>
        </w:rPr>
        <w:t xml:space="preserve">El titular que quiera impugnar una acción u omisión de la Junta de </w:t>
      </w:r>
      <w:proofErr w:type="gramStart"/>
      <w:r w:rsidRPr="00A54622">
        <w:rPr>
          <w:rFonts w:ascii="Bookman Old Style" w:hAnsi="Bookman Old Style"/>
        </w:rPr>
        <w:t>Directores</w:t>
      </w:r>
      <w:proofErr w:type="gramEnd"/>
      <w:r w:rsidRPr="00A54622">
        <w:rPr>
          <w:rFonts w:ascii="Bookman Old Style" w:hAnsi="Bookman Old Style"/>
        </w:rPr>
        <w:t>, del Administrador Interino, del Agente Administrador o un acuerdo del Consejo de Titulares tendrá que demostrar que no tiene ningún tipo de deuda con el Consejo de Titulares y que entregó copia del documento mediante el cual adquirió su apartamento a la Junta de Directores. Será excepción al requisito de no deuda, cuando la impugnación sea para cuestionar la deuda que alegadamente tiene. En el caso de la impugnación de acuerdos del Consejo de Titulares tendrá que acreditar que estuvo presente o representado en la asamblea en que se tomó el acuerdo que impugna y que votó en contra de este. Si estuvo ausente a pesar de que fue debidamente notificado deberá probar que su ausencia estuvo justificada.</w:t>
      </w:r>
    </w:p>
    <w:p w14:paraId="61038C8B" w14:textId="77777777" w:rsidR="00DF49BE" w:rsidRPr="00A54622" w:rsidRDefault="00DF49BE" w:rsidP="00DF49BE">
      <w:pPr>
        <w:ind w:left="720" w:right="720"/>
        <w:contextualSpacing/>
        <w:jc w:val="both"/>
        <w:rPr>
          <w:rFonts w:ascii="Bookman Old Style" w:hAnsi="Bookman Old Style"/>
        </w:rPr>
      </w:pPr>
    </w:p>
    <w:p w14:paraId="0588C43C" w14:textId="4FFFCD09" w:rsidR="00390DC3" w:rsidRPr="00A54622" w:rsidRDefault="008E778F" w:rsidP="00DF49BE">
      <w:pPr>
        <w:ind w:left="720" w:right="720"/>
        <w:contextualSpacing/>
        <w:jc w:val="both"/>
        <w:rPr>
          <w:rFonts w:ascii="Bookman Old Style" w:hAnsi="Bookman Old Style" w:cs="Arial"/>
        </w:rPr>
      </w:pPr>
      <w:r w:rsidRPr="00A54622">
        <w:rPr>
          <w:rFonts w:ascii="Bookman Old Style" w:hAnsi="Bookman Old Style"/>
        </w:rPr>
        <w:t>[…]</w:t>
      </w:r>
    </w:p>
    <w:p w14:paraId="028D8543" w14:textId="77777777" w:rsidR="00940057" w:rsidRPr="00A54622" w:rsidRDefault="00940057" w:rsidP="00136AEB">
      <w:pPr>
        <w:ind w:left="720" w:right="720"/>
        <w:contextualSpacing/>
        <w:jc w:val="both"/>
        <w:rPr>
          <w:rFonts w:ascii="Bookman Old Style" w:hAnsi="Bookman Old Style" w:cs="Arial"/>
          <w:lang w:val="es-MX"/>
        </w:rPr>
      </w:pPr>
    </w:p>
    <w:p w14:paraId="016FA87C" w14:textId="5BF96A1B" w:rsidR="00E625EF" w:rsidRPr="00A54622" w:rsidRDefault="00940057" w:rsidP="00CC243C">
      <w:pPr>
        <w:spacing w:line="480" w:lineRule="auto"/>
        <w:contextualSpacing/>
        <w:jc w:val="center"/>
        <w:rPr>
          <w:rFonts w:ascii="Bookman Old Style" w:hAnsi="Bookman Old Style" w:cs="Arial"/>
          <w:b/>
          <w:bCs/>
          <w:lang w:val="es-MX"/>
        </w:rPr>
      </w:pPr>
      <w:r w:rsidRPr="00A54622">
        <w:rPr>
          <w:rFonts w:ascii="Bookman Old Style" w:hAnsi="Bookman Old Style" w:cs="Arial"/>
          <w:b/>
          <w:bCs/>
          <w:lang w:val="es-MX"/>
        </w:rPr>
        <w:t>III</w:t>
      </w:r>
    </w:p>
    <w:p w14:paraId="7EE46FBF" w14:textId="22C1B7B9" w:rsidR="00E625EF" w:rsidRPr="00A54622" w:rsidRDefault="00A47F02" w:rsidP="00833BF9">
      <w:pPr>
        <w:spacing w:line="480" w:lineRule="auto"/>
        <w:contextualSpacing/>
        <w:jc w:val="both"/>
        <w:rPr>
          <w:rFonts w:ascii="Bookman Old Style" w:hAnsi="Bookman Old Style" w:cs="Arial"/>
        </w:rPr>
      </w:pPr>
      <w:r w:rsidRPr="00A54622">
        <w:rPr>
          <w:rFonts w:ascii="Bookman Old Style" w:hAnsi="Bookman Old Style" w:cs="Arial"/>
          <w:lang w:val="es-MX"/>
        </w:rPr>
        <w:tab/>
      </w:r>
      <w:r w:rsidR="00FB3C7A" w:rsidRPr="00A54622">
        <w:rPr>
          <w:rFonts w:ascii="Bookman Old Style" w:hAnsi="Bookman Old Style" w:cs="Arial"/>
        </w:rPr>
        <w:t>La parte apelante nos</w:t>
      </w:r>
      <w:r w:rsidR="000F7FAE" w:rsidRPr="00A54622">
        <w:rPr>
          <w:rFonts w:ascii="Bookman Old Style" w:hAnsi="Bookman Old Style" w:cs="Arial"/>
        </w:rPr>
        <w:t xml:space="preserve"> plantea que </w:t>
      </w:r>
      <w:r w:rsidR="000D716D" w:rsidRPr="00A54622">
        <w:rPr>
          <w:rFonts w:ascii="Bookman Old Style" w:hAnsi="Bookman Old Style" w:cs="Arial"/>
        </w:rPr>
        <w:t>el Tribunal de Primera Instancia incidió de forma manifiesta</w:t>
      </w:r>
      <w:r w:rsidR="006B2BD4" w:rsidRPr="00A54622">
        <w:rPr>
          <w:rFonts w:ascii="Bookman Old Style" w:hAnsi="Bookman Old Style" w:cs="Arial"/>
        </w:rPr>
        <w:t>,</w:t>
      </w:r>
      <w:r w:rsidR="000D716D" w:rsidRPr="00A54622">
        <w:rPr>
          <w:rFonts w:ascii="Bookman Old Style" w:hAnsi="Bookman Old Style" w:cs="Arial"/>
        </w:rPr>
        <w:t xml:space="preserve"> como cuestión de hecho y de derecho, al desestimar la demanda por la vía sumaria</w:t>
      </w:r>
      <w:r w:rsidR="00CE641C" w:rsidRPr="00A54622">
        <w:rPr>
          <w:rFonts w:ascii="Bookman Old Style" w:hAnsi="Bookman Old Style" w:cs="Arial"/>
        </w:rPr>
        <w:t xml:space="preserve">. </w:t>
      </w:r>
    </w:p>
    <w:p w14:paraId="08B19C9C" w14:textId="574B7D14" w:rsidR="007A6427" w:rsidRPr="00A54622" w:rsidRDefault="007A6427" w:rsidP="007A6427">
      <w:pPr>
        <w:spacing w:line="480" w:lineRule="auto"/>
        <w:ind w:firstLine="720"/>
        <w:jc w:val="both"/>
        <w:rPr>
          <w:rFonts w:ascii="Bookman Old Style" w:hAnsi="Bookman Old Style"/>
        </w:rPr>
      </w:pPr>
      <w:r w:rsidRPr="00A54622">
        <w:rPr>
          <w:rFonts w:ascii="Bookman Old Style" w:hAnsi="Bookman Old Style"/>
        </w:rPr>
        <w:t>En cumplimiento con la normativa vigente sobre la </w:t>
      </w:r>
      <w:bookmarkStart w:id="7" w:name="hit61"/>
      <w:bookmarkEnd w:id="7"/>
      <w:r w:rsidRPr="00A54622">
        <w:rPr>
          <w:rFonts w:ascii="Bookman Old Style" w:hAnsi="Bookman Old Style"/>
        </w:rPr>
        <w:t>revisión de una sentencia </w:t>
      </w:r>
      <w:bookmarkStart w:id="8" w:name="hit62"/>
      <w:bookmarkEnd w:id="8"/>
      <w:r w:rsidRPr="00A54622">
        <w:rPr>
          <w:rFonts w:ascii="Bookman Old Style" w:hAnsi="Bookman Old Style"/>
        </w:rPr>
        <w:t xml:space="preserve">sumaria, evaluamos </w:t>
      </w:r>
      <w:r w:rsidRPr="00A54622">
        <w:rPr>
          <w:rFonts w:ascii="Bookman Old Style" w:hAnsi="Bookman Old Style"/>
          <w:i/>
          <w:iCs/>
        </w:rPr>
        <w:t>de</w:t>
      </w:r>
      <w:r w:rsidRPr="00A54622">
        <w:rPr>
          <w:rFonts w:ascii="Bookman Old Style" w:hAnsi="Bookman Old Style"/>
        </w:rPr>
        <w:t> </w:t>
      </w:r>
      <w:proofErr w:type="spellStart"/>
      <w:r w:rsidRPr="00A54622">
        <w:rPr>
          <w:rFonts w:ascii="Bookman Old Style" w:hAnsi="Bookman Old Style"/>
          <w:i/>
          <w:iCs/>
        </w:rPr>
        <w:t>novo</w:t>
      </w:r>
      <w:proofErr w:type="spellEnd"/>
      <w:r w:rsidRPr="00A54622">
        <w:rPr>
          <w:rFonts w:ascii="Bookman Old Style" w:hAnsi="Bookman Old Style"/>
        </w:rPr>
        <w:t> la evidencia documental que tuvo el foro sentenciador ante su consideración, así como los planteamientos realizados por la parte apelante al cuestionar las determinaciones de hechos alcanzadas en la </w:t>
      </w:r>
      <w:r w:rsidRPr="00A54622">
        <w:rPr>
          <w:rFonts w:ascii="Bookman Old Style" w:hAnsi="Bookman Old Style"/>
          <w:i/>
          <w:iCs/>
        </w:rPr>
        <w:t>Sentencia</w:t>
      </w:r>
      <w:r w:rsidRPr="00A54622">
        <w:rPr>
          <w:rFonts w:ascii="Bookman Old Style" w:hAnsi="Bookman Old Style"/>
        </w:rPr>
        <w:t xml:space="preserve"> que nos ocupa. Basado en ello, concluimos que </w:t>
      </w:r>
      <w:r w:rsidR="006C5CFF" w:rsidRPr="00A54622">
        <w:rPr>
          <w:rFonts w:ascii="Bookman Old Style" w:hAnsi="Bookman Old Style"/>
        </w:rPr>
        <w:t>el cuestionamiento realizado por el apelante no se encuentra</w:t>
      </w:r>
      <w:r w:rsidRPr="00A54622">
        <w:rPr>
          <w:rFonts w:ascii="Bookman Old Style" w:hAnsi="Bookman Old Style"/>
        </w:rPr>
        <w:t xml:space="preserve"> apoyado en la evidencia que emana del expediente ante nos. Contrario a lo señalado por el apelante, las determinaciones de hechos realizadas por el foro de instancia están sustentadas en la prueba presentada por las partes, a través de la moción de sentencia sumaria y su oposición. Lo anterior corresponde </w:t>
      </w:r>
      <w:r w:rsidR="00E6519E" w:rsidRPr="00A54622">
        <w:rPr>
          <w:rFonts w:ascii="Bookman Old Style" w:hAnsi="Bookman Old Style"/>
        </w:rPr>
        <w:t>al</w:t>
      </w:r>
      <w:r w:rsidRPr="00A54622">
        <w:rPr>
          <w:rFonts w:ascii="Bookman Old Style" w:hAnsi="Bookman Old Style"/>
        </w:rPr>
        <w:t xml:space="preserve"> valor probatorio que el foro </w:t>
      </w:r>
      <w:r w:rsidRPr="00A54622">
        <w:rPr>
          <w:rFonts w:ascii="Bookman Old Style" w:hAnsi="Bookman Old Style"/>
          <w:i/>
          <w:iCs/>
        </w:rPr>
        <w:t>a quo</w:t>
      </w:r>
      <w:r w:rsidRPr="00A54622">
        <w:rPr>
          <w:rFonts w:ascii="Bookman Old Style" w:hAnsi="Bookman Old Style"/>
        </w:rPr>
        <w:t xml:space="preserve"> dio a una evidencia documental presentada para probar un hecho, versus la evidencia documental que la otra parte presentó para controvertirlo. Si bien, como </w:t>
      </w:r>
      <w:r w:rsidR="001C5FD9" w:rsidRPr="00A54622">
        <w:rPr>
          <w:rFonts w:ascii="Bookman Old Style" w:hAnsi="Bookman Old Style"/>
        </w:rPr>
        <w:t>Tribunal</w:t>
      </w:r>
      <w:r w:rsidRPr="00A54622">
        <w:rPr>
          <w:rFonts w:ascii="Bookman Old Style" w:hAnsi="Bookman Old Style"/>
        </w:rPr>
        <w:t xml:space="preserve"> revisor, nos encontramos en la misma posición que el foro apelado al evaluar una solicitud de sentencia sumaria, la argumentación de la parte apelante no nos mueve a modificar la apreciación que el tribunal primario hizo sobre la evidencia que obra en el caso de autos. De una minuciosa revisión al expediente, concluimos que el foro </w:t>
      </w:r>
      <w:r w:rsidRPr="00A54622">
        <w:rPr>
          <w:rFonts w:ascii="Bookman Old Style" w:hAnsi="Bookman Old Style"/>
          <w:i/>
          <w:iCs/>
        </w:rPr>
        <w:t>a quo</w:t>
      </w:r>
      <w:r w:rsidRPr="00A54622">
        <w:rPr>
          <w:rFonts w:ascii="Bookman Old Style" w:hAnsi="Bookman Old Style"/>
        </w:rPr>
        <w:t xml:space="preserve"> apoyó totalmente sus determinaciones de hechos en la prueba que surge del expediente. La parte apelante, por el contrario, no presentó prueba convincente ni que lograra controvertir las alegaciones esbozadas en la solicitud de sentencia sumaria instada por la parte apelada. Por lo tanto, colegimos que no existen hechos materiales en controversia que impidan la adjudicación sumaria del caso. </w:t>
      </w:r>
    </w:p>
    <w:p w14:paraId="109FFD52" w14:textId="3828141D" w:rsidR="00167B63" w:rsidRPr="00A54622" w:rsidRDefault="009325F3" w:rsidP="00167B63">
      <w:pPr>
        <w:spacing w:line="480" w:lineRule="auto"/>
        <w:ind w:firstLine="720"/>
        <w:contextualSpacing/>
        <w:jc w:val="both"/>
        <w:rPr>
          <w:rFonts w:ascii="Bookman Old Style" w:hAnsi="Bookman Old Style" w:cs="Arial"/>
          <w:lang w:val="es-MX"/>
        </w:rPr>
      </w:pPr>
      <w:r w:rsidRPr="00A54622">
        <w:rPr>
          <w:rFonts w:ascii="Bookman Old Style" w:hAnsi="Bookman Old Style"/>
        </w:rPr>
        <w:t xml:space="preserve">Superado lo anterior, nos resta revisar si el foro </w:t>
      </w:r>
      <w:r w:rsidRPr="00A54622">
        <w:rPr>
          <w:rFonts w:ascii="Bookman Old Style" w:hAnsi="Bookman Old Style"/>
          <w:i/>
          <w:iCs/>
        </w:rPr>
        <w:t>a quo</w:t>
      </w:r>
      <w:r w:rsidRPr="00A54622">
        <w:rPr>
          <w:rFonts w:ascii="Bookman Old Style" w:hAnsi="Bookman Old Style"/>
        </w:rPr>
        <w:t xml:space="preserve"> aplicó correctamente el derecho pertinente. </w:t>
      </w:r>
      <w:r w:rsidR="006B7340" w:rsidRPr="00A54622">
        <w:rPr>
          <w:rFonts w:ascii="Bookman Old Style" w:hAnsi="Bookman Old Style"/>
        </w:rPr>
        <w:t xml:space="preserve">En su </w:t>
      </w:r>
      <w:r w:rsidR="00262A43" w:rsidRPr="00A54622">
        <w:rPr>
          <w:rFonts w:ascii="Bookman Old Style" w:hAnsi="Bookman Old Style" w:cs="Arial"/>
          <w:i/>
          <w:iCs/>
          <w:lang w:val="es-MX"/>
        </w:rPr>
        <w:t>Segunda Solicitud de Sentencia Sumaria</w:t>
      </w:r>
      <w:r w:rsidR="00262A43" w:rsidRPr="00A54622">
        <w:rPr>
          <w:rFonts w:ascii="Bookman Old Style" w:hAnsi="Bookman Old Style" w:cs="Arial"/>
          <w:lang w:val="es-MX"/>
        </w:rPr>
        <w:t xml:space="preserve"> la parte apelada</w:t>
      </w:r>
      <w:r w:rsidR="006B7340" w:rsidRPr="00A54622">
        <w:rPr>
          <w:rFonts w:ascii="Bookman Old Style" w:hAnsi="Bookman Old Style" w:cs="Arial"/>
          <w:lang w:val="es-MX"/>
        </w:rPr>
        <w:t xml:space="preserve"> alega que</w:t>
      </w:r>
      <w:r w:rsidR="00262A43" w:rsidRPr="00A54622">
        <w:rPr>
          <w:rFonts w:ascii="Bookman Old Style" w:hAnsi="Bookman Old Style" w:cs="Arial"/>
          <w:lang w:val="es-MX"/>
        </w:rPr>
        <w:t xml:space="preserve"> </w:t>
      </w:r>
      <w:r w:rsidR="00CD3C35" w:rsidRPr="00A54622">
        <w:rPr>
          <w:rFonts w:ascii="Bookman Old Style" w:hAnsi="Bookman Old Style" w:cs="Arial"/>
          <w:lang w:val="es-MX"/>
        </w:rPr>
        <w:t>la parte apelante</w:t>
      </w:r>
      <w:r w:rsidR="009610D0" w:rsidRPr="00A54622">
        <w:rPr>
          <w:rFonts w:ascii="Bookman Old Style" w:hAnsi="Bookman Old Style" w:cs="Arial"/>
          <w:lang w:val="es-MX"/>
        </w:rPr>
        <w:t xml:space="preserve"> fue elect</w:t>
      </w:r>
      <w:r w:rsidR="00CD3C35" w:rsidRPr="00A54622">
        <w:rPr>
          <w:rFonts w:ascii="Bookman Old Style" w:hAnsi="Bookman Old Style" w:cs="Arial"/>
          <w:lang w:val="es-MX"/>
        </w:rPr>
        <w:t>a</w:t>
      </w:r>
      <w:r w:rsidR="009610D0" w:rsidRPr="00A54622">
        <w:rPr>
          <w:rFonts w:ascii="Bookman Old Style" w:hAnsi="Bookman Old Style" w:cs="Arial"/>
          <w:lang w:val="es-MX"/>
        </w:rPr>
        <w:t xml:space="preserve"> como agente administrador </w:t>
      </w:r>
      <w:r w:rsidR="009610D0" w:rsidRPr="00A54622">
        <w:rPr>
          <w:rFonts w:ascii="Bookman Old Style" w:hAnsi="Bookman Old Style" w:cs="Arial"/>
        </w:rPr>
        <w:t xml:space="preserve">del </w:t>
      </w:r>
      <w:r w:rsidR="009610D0" w:rsidRPr="00A54622">
        <w:rPr>
          <w:rFonts w:ascii="Bookman Old Style" w:hAnsi="Bookman Old Style" w:cs="Arial"/>
          <w:lang w:val="es-MX"/>
        </w:rPr>
        <w:t>Condominio Caribe Golf Villas mediante asamblea el 18 de agosto de 2015</w:t>
      </w:r>
      <w:r w:rsidR="005F668C" w:rsidRPr="00A54622">
        <w:rPr>
          <w:rFonts w:ascii="Bookman Old Style" w:hAnsi="Bookman Old Style" w:cs="Arial"/>
          <w:lang w:val="es-MX"/>
        </w:rPr>
        <w:t>; que</w:t>
      </w:r>
      <w:r w:rsidR="00CD3C35" w:rsidRPr="00A54622">
        <w:rPr>
          <w:rFonts w:ascii="Bookman Old Style" w:hAnsi="Bookman Old Style" w:cs="Arial"/>
          <w:lang w:val="es-MX"/>
        </w:rPr>
        <w:t xml:space="preserve"> </w:t>
      </w:r>
      <w:r w:rsidR="009610D0" w:rsidRPr="00A54622">
        <w:rPr>
          <w:rFonts w:ascii="Bookman Old Style" w:hAnsi="Bookman Old Style" w:cs="Arial"/>
          <w:lang w:val="es-MX"/>
        </w:rPr>
        <w:t xml:space="preserve">este contrato tenía un término de un año, por lo </w:t>
      </w:r>
      <w:r w:rsidR="00A86F34" w:rsidRPr="00A54622">
        <w:rPr>
          <w:rFonts w:ascii="Bookman Old Style" w:hAnsi="Bookman Old Style" w:cs="Arial"/>
          <w:lang w:val="es-MX"/>
        </w:rPr>
        <w:t xml:space="preserve">que </w:t>
      </w:r>
      <w:r w:rsidR="009610D0" w:rsidRPr="00A54622">
        <w:rPr>
          <w:rFonts w:ascii="Bookman Old Style" w:hAnsi="Bookman Old Style" w:cs="Arial"/>
          <w:lang w:val="es-MX"/>
        </w:rPr>
        <w:t xml:space="preserve">vencía el 17 de agosto de cada año. </w:t>
      </w:r>
      <w:r w:rsidR="006B7340" w:rsidRPr="00A54622">
        <w:rPr>
          <w:rFonts w:ascii="Bookman Old Style" w:hAnsi="Bookman Old Style" w:cs="Arial"/>
          <w:lang w:val="es-MX"/>
        </w:rPr>
        <w:t>Arguye</w:t>
      </w:r>
      <w:r w:rsidR="009610D0" w:rsidRPr="00A54622">
        <w:rPr>
          <w:rFonts w:ascii="Bookman Old Style" w:hAnsi="Bookman Old Style" w:cs="Arial"/>
          <w:lang w:val="es-MX"/>
        </w:rPr>
        <w:t xml:space="preserve"> que el 2 de agosto de 2021, le notificaron una carta a </w:t>
      </w:r>
      <w:r w:rsidR="005C0D0E" w:rsidRPr="00A54622">
        <w:rPr>
          <w:rFonts w:ascii="Bookman Old Style" w:hAnsi="Bookman Old Style" w:cs="Arial"/>
          <w:lang w:val="es-MX"/>
        </w:rPr>
        <w:t>la parte apelante</w:t>
      </w:r>
      <w:r w:rsidR="009610D0" w:rsidRPr="00A54622">
        <w:rPr>
          <w:rFonts w:ascii="Bookman Old Style" w:hAnsi="Bookman Old Style" w:cs="Arial"/>
          <w:lang w:val="es-MX"/>
        </w:rPr>
        <w:t xml:space="preserve"> en la cual se le informó que se estaría contratando los servicios de un nuevo agente administrador</w:t>
      </w:r>
      <w:r w:rsidR="00817137" w:rsidRPr="00A54622">
        <w:rPr>
          <w:rFonts w:ascii="Bookman Old Style" w:hAnsi="Bookman Old Style" w:cs="Arial"/>
          <w:lang w:val="es-MX"/>
        </w:rPr>
        <w:t xml:space="preserve">, por lo </w:t>
      </w:r>
      <w:r w:rsidR="002A5EEB" w:rsidRPr="00A54622">
        <w:rPr>
          <w:rFonts w:ascii="Bookman Old Style" w:hAnsi="Bookman Old Style" w:cs="Arial"/>
          <w:lang w:val="es-MX"/>
        </w:rPr>
        <w:t>cual</w:t>
      </w:r>
      <w:r w:rsidR="00817137" w:rsidRPr="00A54622">
        <w:rPr>
          <w:rFonts w:ascii="Bookman Old Style" w:hAnsi="Bookman Old Style" w:cs="Arial"/>
          <w:lang w:val="es-MX"/>
        </w:rPr>
        <w:t xml:space="preserve"> no estar</w:t>
      </w:r>
      <w:r w:rsidR="00A74F7F" w:rsidRPr="00A54622">
        <w:rPr>
          <w:rFonts w:ascii="Bookman Old Style" w:hAnsi="Bookman Old Style" w:cs="Arial"/>
          <w:lang w:val="es-MX"/>
        </w:rPr>
        <w:t xml:space="preserve">ían necesitando su </w:t>
      </w:r>
      <w:r w:rsidR="00516769" w:rsidRPr="00A54622">
        <w:rPr>
          <w:rFonts w:ascii="Bookman Old Style" w:hAnsi="Bookman Old Style" w:cs="Arial"/>
          <w:lang w:val="es-MX"/>
        </w:rPr>
        <w:t>asistencia</w:t>
      </w:r>
      <w:r w:rsidR="009610D0" w:rsidRPr="00A54622">
        <w:rPr>
          <w:rFonts w:ascii="Bookman Old Style" w:hAnsi="Bookman Old Style" w:cs="Arial"/>
          <w:lang w:val="es-MX"/>
        </w:rPr>
        <w:t xml:space="preserve">. </w:t>
      </w:r>
      <w:bookmarkStart w:id="9" w:name="_Hlk197432548"/>
      <w:r w:rsidR="005F668C" w:rsidRPr="00A54622">
        <w:rPr>
          <w:rFonts w:ascii="Bookman Old Style" w:hAnsi="Bookman Old Style" w:cs="Arial"/>
          <w:lang w:val="es-MX"/>
        </w:rPr>
        <w:t>En consecuencia</w:t>
      </w:r>
      <w:r w:rsidR="002A5EEB" w:rsidRPr="00A54622">
        <w:rPr>
          <w:rFonts w:ascii="Bookman Old Style" w:hAnsi="Bookman Old Style" w:cs="Arial"/>
          <w:lang w:val="es-MX"/>
        </w:rPr>
        <w:t>,</w:t>
      </w:r>
      <w:r w:rsidR="009610D0" w:rsidRPr="00A54622">
        <w:rPr>
          <w:rFonts w:ascii="Bookman Old Style" w:hAnsi="Bookman Old Style" w:cs="Arial"/>
          <w:lang w:val="es-MX"/>
        </w:rPr>
        <w:t xml:space="preserve"> el 10 de septiembre de 2021, la Junta de </w:t>
      </w:r>
      <w:proofErr w:type="gramStart"/>
      <w:r w:rsidR="009610D0" w:rsidRPr="00A54622">
        <w:rPr>
          <w:rFonts w:ascii="Bookman Old Style" w:hAnsi="Bookman Old Style" w:cs="Arial"/>
          <w:lang w:val="es-MX"/>
        </w:rPr>
        <w:t>Directores</w:t>
      </w:r>
      <w:proofErr w:type="gramEnd"/>
      <w:r w:rsidR="009610D0" w:rsidRPr="00A54622">
        <w:rPr>
          <w:rFonts w:ascii="Bookman Old Style" w:hAnsi="Bookman Old Style" w:cs="Arial"/>
          <w:lang w:val="es-MX"/>
        </w:rPr>
        <w:t xml:space="preserve"> convocó una asamblea </w:t>
      </w:r>
      <w:r w:rsidR="002A5EEB" w:rsidRPr="00A54622">
        <w:rPr>
          <w:rFonts w:ascii="Bookman Old Style" w:hAnsi="Bookman Old Style" w:cs="Arial"/>
          <w:lang w:val="es-MX"/>
        </w:rPr>
        <w:t>extraordinaria</w:t>
      </w:r>
      <w:r w:rsidR="005F668C" w:rsidRPr="00A54622">
        <w:rPr>
          <w:rFonts w:ascii="Bookman Old Style" w:hAnsi="Bookman Old Style" w:cs="Arial"/>
          <w:lang w:val="es-MX"/>
        </w:rPr>
        <w:t>,</w:t>
      </w:r>
      <w:r w:rsidR="002A5EEB" w:rsidRPr="00A54622">
        <w:rPr>
          <w:rFonts w:ascii="Bookman Old Style" w:hAnsi="Bookman Old Style" w:cs="Arial"/>
          <w:lang w:val="es-MX"/>
        </w:rPr>
        <w:t xml:space="preserve"> </w:t>
      </w:r>
      <w:r w:rsidR="009610D0" w:rsidRPr="00A54622">
        <w:rPr>
          <w:rFonts w:ascii="Bookman Old Style" w:hAnsi="Bookman Old Style" w:cs="Arial"/>
          <w:lang w:val="es-MX"/>
        </w:rPr>
        <w:t>para el 17 de septiembre del mismo año</w:t>
      </w:r>
      <w:r w:rsidR="005F668C" w:rsidRPr="00A54622">
        <w:rPr>
          <w:rFonts w:ascii="Bookman Old Style" w:hAnsi="Bookman Old Style" w:cs="Arial"/>
          <w:lang w:val="es-MX"/>
        </w:rPr>
        <w:t>,</w:t>
      </w:r>
      <w:r w:rsidR="009610D0" w:rsidRPr="00A54622">
        <w:rPr>
          <w:rFonts w:ascii="Bookman Old Style" w:hAnsi="Bookman Old Style" w:cs="Arial"/>
          <w:lang w:val="es-MX"/>
        </w:rPr>
        <w:t xml:space="preserve"> en la cual se incluyeron como parte de la agen</w:t>
      </w:r>
      <w:r w:rsidR="006B6515" w:rsidRPr="00A54622">
        <w:rPr>
          <w:rFonts w:ascii="Bookman Old Style" w:hAnsi="Bookman Old Style" w:cs="Arial"/>
          <w:lang w:val="es-MX"/>
        </w:rPr>
        <w:t>d</w:t>
      </w:r>
      <w:r w:rsidR="009610D0" w:rsidRPr="00A54622">
        <w:rPr>
          <w:rFonts w:ascii="Bookman Old Style" w:hAnsi="Bookman Old Style" w:cs="Arial"/>
          <w:lang w:val="es-MX"/>
        </w:rPr>
        <w:t>a</w:t>
      </w:r>
      <w:r w:rsidR="00D20CF4" w:rsidRPr="00A54622">
        <w:rPr>
          <w:rFonts w:ascii="Bookman Old Style" w:hAnsi="Bookman Old Style" w:cs="Arial"/>
          <w:lang w:val="es-MX"/>
        </w:rPr>
        <w:t>,</w:t>
      </w:r>
      <w:r w:rsidR="009610D0" w:rsidRPr="00A54622">
        <w:rPr>
          <w:rFonts w:ascii="Bookman Old Style" w:hAnsi="Bookman Old Style" w:cs="Arial"/>
          <w:lang w:val="es-MX"/>
        </w:rPr>
        <w:t xml:space="preserve"> la cancelación del contrato de </w:t>
      </w:r>
      <w:r w:rsidR="006B6515" w:rsidRPr="00A54622">
        <w:rPr>
          <w:rFonts w:ascii="Bookman Old Style" w:hAnsi="Bookman Old Style" w:cs="Arial"/>
          <w:lang w:val="es-MX"/>
        </w:rPr>
        <w:t>la parte apelante</w:t>
      </w:r>
      <w:r w:rsidR="009610D0" w:rsidRPr="00A54622">
        <w:rPr>
          <w:rFonts w:ascii="Bookman Old Style" w:hAnsi="Bookman Old Style" w:cs="Arial"/>
          <w:lang w:val="es-MX"/>
        </w:rPr>
        <w:t xml:space="preserve"> y la aprobación del contrato de administración de Olga Ruberté.</w:t>
      </w:r>
      <w:bookmarkEnd w:id="9"/>
      <w:r w:rsidR="009610D0" w:rsidRPr="00A54622">
        <w:rPr>
          <w:rFonts w:ascii="Bookman Old Style" w:hAnsi="Bookman Old Style" w:cs="Arial"/>
          <w:lang w:val="es-MX"/>
        </w:rPr>
        <w:t xml:space="preserve"> Celebrada la asamblea, se </w:t>
      </w:r>
      <w:r w:rsidR="002A5EEB" w:rsidRPr="00A54622">
        <w:rPr>
          <w:rFonts w:ascii="Bookman Old Style" w:hAnsi="Bookman Old Style" w:cs="Arial"/>
          <w:lang w:val="es-MX"/>
        </w:rPr>
        <w:t>aprob</w:t>
      </w:r>
      <w:r w:rsidR="006B6515" w:rsidRPr="00A54622">
        <w:rPr>
          <w:rFonts w:ascii="Bookman Old Style" w:hAnsi="Bookman Old Style" w:cs="Arial"/>
          <w:lang w:val="es-MX"/>
        </w:rPr>
        <w:t>ó</w:t>
      </w:r>
      <w:r w:rsidR="009610D0" w:rsidRPr="00A54622">
        <w:rPr>
          <w:rFonts w:ascii="Bookman Old Style" w:hAnsi="Bookman Old Style" w:cs="Arial"/>
          <w:lang w:val="es-MX"/>
        </w:rPr>
        <w:t xml:space="preserve"> la contratación de Olga Ruberté como agente administrador. </w:t>
      </w:r>
    </w:p>
    <w:p w14:paraId="1CFCB3DB" w14:textId="038B3486" w:rsidR="009610D0" w:rsidRPr="00A54622" w:rsidRDefault="00167B63" w:rsidP="00167B63">
      <w:pPr>
        <w:spacing w:line="480" w:lineRule="auto"/>
        <w:ind w:firstLine="720"/>
        <w:contextualSpacing/>
        <w:jc w:val="both"/>
        <w:rPr>
          <w:rFonts w:ascii="Bookman Old Style" w:hAnsi="Bookman Old Style" w:cs="Arial"/>
          <w:lang w:val="es-MX"/>
        </w:rPr>
      </w:pPr>
      <w:r w:rsidRPr="00A54622">
        <w:rPr>
          <w:rFonts w:ascii="Bookman Old Style" w:hAnsi="Bookman Old Style" w:cs="Arial"/>
        </w:rPr>
        <w:t>La parte apelada aduce que</w:t>
      </w:r>
      <w:r w:rsidR="009610D0" w:rsidRPr="00A54622">
        <w:rPr>
          <w:rFonts w:ascii="Bookman Old Style" w:hAnsi="Bookman Old Style" w:cs="Arial"/>
          <w:lang w:val="es-MX"/>
        </w:rPr>
        <w:t xml:space="preserve"> el contrato de agente administrador de </w:t>
      </w:r>
      <w:r w:rsidRPr="00A54622">
        <w:rPr>
          <w:rFonts w:ascii="Bookman Old Style" w:hAnsi="Bookman Old Style" w:cs="Arial"/>
          <w:lang w:val="es-MX"/>
        </w:rPr>
        <w:t>la parte apelante</w:t>
      </w:r>
      <w:r w:rsidR="009610D0" w:rsidRPr="00A54622">
        <w:rPr>
          <w:rFonts w:ascii="Bookman Old Style" w:hAnsi="Bookman Old Style" w:cs="Arial"/>
          <w:lang w:val="es-MX"/>
        </w:rPr>
        <w:t xml:space="preserve"> se canceló conforme a derecho</w:t>
      </w:r>
      <w:r w:rsidRPr="00A54622">
        <w:rPr>
          <w:rFonts w:ascii="Bookman Old Style" w:hAnsi="Bookman Old Style" w:cs="Arial"/>
          <w:lang w:val="es-MX"/>
        </w:rPr>
        <w:t xml:space="preserve">, </w:t>
      </w:r>
      <w:r w:rsidR="009610D0" w:rsidRPr="00A54622">
        <w:rPr>
          <w:rFonts w:ascii="Bookman Old Style" w:hAnsi="Bookman Old Style" w:cs="Arial"/>
          <w:lang w:val="es-MX"/>
        </w:rPr>
        <w:t>pues el 17 de septiembre de 2021 decidieron</w:t>
      </w:r>
      <w:r w:rsidR="00640FDE" w:rsidRPr="00A54622">
        <w:rPr>
          <w:rFonts w:ascii="Bookman Old Style" w:hAnsi="Bookman Old Style" w:cs="Arial"/>
          <w:lang w:val="es-MX"/>
        </w:rPr>
        <w:t>,</w:t>
      </w:r>
      <w:r w:rsidR="009610D0" w:rsidRPr="00A54622">
        <w:rPr>
          <w:rFonts w:ascii="Bookman Old Style" w:hAnsi="Bookman Old Style" w:cs="Arial"/>
          <w:lang w:val="es-MX"/>
        </w:rPr>
        <w:t xml:space="preserve"> mediante asamblea</w:t>
      </w:r>
      <w:r w:rsidR="00640FDE" w:rsidRPr="00A54622">
        <w:rPr>
          <w:rFonts w:ascii="Bookman Old Style" w:hAnsi="Bookman Old Style" w:cs="Arial"/>
          <w:lang w:val="es-MX"/>
        </w:rPr>
        <w:t>,</w:t>
      </w:r>
      <w:r w:rsidR="009610D0" w:rsidRPr="00A54622">
        <w:rPr>
          <w:rFonts w:ascii="Bookman Old Style" w:hAnsi="Bookman Old Style" w:cs="Arial"/>
          <w:lang w:val="es-MX"/>
        </w:rPr>
        <w:t xml:space="preserve"> contratar </w:t>
      </w:r>
      <w:r w:rsidR="00640FDE" w:rsidRPr="00A54622">
        <w:rPr>
          <w:rFonts w:ascii="Bookman Old Style" w:hAnsi="Bookman Old Style" w:cs="Arial"/>
          <w:lang w:val="es-MX"/>
        </w:rPr>
        <w:t>a un nuevo</w:t>
      </w:r>
      <w:r w:rsidR="009610D0" w:rsidRPr="00A54622">
        <w:rPr>
          <w:rFonts w:ascii="Bookman Old Style" w:hAnsi="Bookman Old Style" w:cs="Arial"/>
          <w:lang w:val="es-MX"/>
        </w:rPr>
        <w:t xml:space="preserve"> agente administrador lo que dio por terminada la relación contractual con </w:t>
      </w:r>
      <w:r w:rsidRPr="00A54622">
        <w:rPr>
          <w:rFonts w:ascii="Bookman Old Style" w:hAnsi="Bookman Old Style" w:cs="Arial"/>
          <w:lang w:val="es-MX"/>
        </w:rPr>
        <w:t>la parte apelante</w:t>
      </w:r>
      <w:r w:rsidR="009610D0" w:rsidRPr="00A54622">
        <w:rPr>
          <w:rFonts w:ascii="Bookman Old Style" w:hAnsi="Bookman Old Style" w:cs="Arial"/>
          <w:lang w:val="es-MX"/>
        </w:rPr>
        <w:t xml:space="preserve">. Del mismo modo, </w:t>
      </w:r>
      <w:r w:rsidR="00904019" w:rsidRPr="00A54622">
        <w:rPr>
          <w:rFonts w:ascii="Bookman Old Style" w:hAnsi="Bookman Old Style" w:cs="Arial"/>
          <w:lang w:val="es-MX"/>
        </w:rPr>
        <w:t>alega</w:t>
      </w:r>
      <w:r w:rsidR="009610D0" w:rsidRPr="00A54622">
        <w:rPr>
          <w:rFonts w:ascii="Bookman Old Style" w:hAnsi="Bookman Old Style" w:cs="Arial"/>
          <w:lang w:val="es-MX"/>
        </w:rPr>
        <w:t xml:space="preserve"> que debido a que el término del contrato de agente administrador es de un año, </w:t>
      </w:r>
      <w:r w:rsidR="00950E6A" w:rsidRPr="00A54622">
        <w:rPr>
          <w:rFonts w:ascii="Bookman Old Style" w:hAnsi="Bookman Old Style" w:cs="Arial"/>
          <w:lang w:val="es-MX"/>
        </w:rPr>
        <w:t>la parte apelante</w:t>
      </w:r>
      <w:r w:rsidR="009610D0" w:rsidRPr="00A54622">
        <w:rPr>
          <w:rFonts w:ascii="Bookman Old Style" w:hAnsi="Bookman Old Style" w:cs="Arial"/>
          <w:lang w:val="es-MX"/>
        </w:rPr>
        <w:t xml:space="preserve"> no podía alegar que poseía una expectativa de ser mandatario del condominio por los próximos años, cuando debía saber que se podía dar por terminada la relación contractual en cualquier año. </w:t>
      </w:r>
    </w:p>
    <w:p w14:paraId="3F44F6C1" w14:textId="7E0D2019" w:rsidR="009F5C52" w:rsidRPr="00A54622" w:rsidRDefault="009F5C52" w:rsidP="002B4126">
      <w:pPr>
        <w:spacing w:line="480" w:lineRule="auto"/>
        <w:ind w:firstLine="720"/>
        <w:contextualSpacing/>
        <w:jc w:val="both"/>
        <w:rPr>
          <w:rFonts w:ascii="Bookman Old Style" w:hAnsi="Bookman Old Style" w:cs="Arial"/>
          <w:lang w:val="es-MX"/>
        </w:rPr>
      </w:pPr>
      <w:r w:rsidRPr="00A54622">
        <w:rPr>
          <w:rFonts w:ascii="Bookman Old Style" w:hAnsi="Bookman Old Style" w:cs="Arial"/>
        </w:rPr>
        <w:t>Por su parte, el apelante</w:t>
      </w:r>
      <w:r w:rsidR="003F0A59" w:rsidRPr="00A54622">
        <w:rPr>
          <w:rFonts w:ascii="Bookman Old Style" w:hAnsi="Bookman Old Style" w:cs="Arial"/>
        </w:rPr>
        <w:t xml:space="preserve"> en su </w:t>
      </w:r>
      <w:r w:rsidR="003F0A59" w:rsidRPr="00A54622">
        <w:rPr>
          <w:rFonts w:ascii="Bookman Old Style" w:hAnsi="Bookman Old Style" w:cs="Arial"/>
          <w:i/>
          <w:iCs/>
        </w:rPr>
        <w:t>Oposición a Sentencia Sumaria &amp; Solicitud Anticipada para que No sea Considerada una Réplica a la presente Oposición</w:t>
      </w:r>
      <w:r w:rsidR="003F0A59" w:rsidRPr="00A54622">
        <w:rPr>
          <w:rFonts w:ascii="Bookman Old Style" w:hAnsi="Bookman Old Style" w:cs="Arial"/>
        </w:rPr>
        <w:t>,</w:t>
      </w:r>
      <w:r w:rsidRPr="00A54622">
        <w:rPr>
          <w:rFonts w:ascii="Bookman Old Style" w:hAnsi="Bookman Old Style" w:cs="Arial"/>
        </w:rPr>
        <w:t xml:space="preserve"> sostiene que la parte apelada </w:t>
      </w:r>
      <w:r w:rsidRPr="00A54622">
        <w:rPr>
          <w:rFonts w:ascii="Bookman Old Style" w:hAnsi="Bookman Old Style" w:cs="Arial"/>
          <w:lang w:val="es-MX"/>
        </w:rPr>
        <w:t xml:space="preserve">no cumplió con la debida convocatoria que exige la </w:t>
      </w:r>
      <w:r w:rsidRPr="00A54622">
        <w:rPr>
          <w:rFonts w:ascii="Bookman Old Style" w:hAnsi="Bookman Old Style" w:cs="Arial"/>
          <w:i/>
          <w:iCs/>
          <w:lang w:val="es-MX"/>
        </w:rPr>
        <w:t>Ley de Condominios de Puerto Rico</w:t>
      </w:r>
      <w:r w:rsidRPr="00A54622">
        <w:rPr>
          <w:rFonts w:ascii="Bookman Old Style" w:hAnsi="Bookman Old Style" w:cs="Arial"/>
          <w:lang w:val="es-MX"/>
        </w:rPr>
        <w:t>, supra, para ratificar la cancelación del contrato de este como agente administrador del condominio. Adu</w:t>
      </w:r>
      <w:r w:rsidR="00AA63F6" w:rsidRPr="00A54622">
        <w:rPr>
          <w:rFonts w:ascii="Bookman Old Style" w:hAnsi="Bookman Old Style" w:cs="Arial"/>
          <w:lang w:val="es-MX"/>
        </w:rPr>
        <w:t>ce</w:t>
      </w:r>
      <w:r w:rsidRPr="00A54622">
        <w:rPr>
          <w:rFonts w:ascii="Bookman Old Style" w:hAnsi="Bookman Old Style" w:cs="Arial"/>
          <w:lang w:val="es-MX"/>
        </w:rPr>
        <w:t xml:space="preserve"> que</w:t>
      </w:r>
      <w:r w:rsidR="00955844" w:rsidRPr="00A54622">
        <w:rPr>
          <w:rFonts w:ascii="Bookman Old Style" w:hAnsi="Bookman Old Style" w:cs="Arial"/>
          <w:lang w:val="es-MX"/>
        </w:rPr>
        <w:t>,</w:t>
      </w:r>
      <w:r w:rsidRPr="00A54622">
        <w:rPr>
          <w:rFonts w:ascii="Bookman Old Style" w:hAnsi="Bookman Old Style" w:cs="Arial"/>
          <w:lang w:val="es-MX"/>
        </w:rPr>
        <w:t xml:space="preserve"> a pesar de que aparecía en el acta de la asamblea como uno de los puntos en agenda la cancelación del contrato </w:t>
      </w:r>
      <w:r w:rsidR="00360499" w:rsidRPr="00A54622">
        <w:rPr>
          <w:rFonts w:ascii="Bookman Old Style" w:hAnsi="Bookman Old Style" w:cs="Arial"/>
          <w:lang w:val="es-MX"/>
        </w:rPr>
        <w:t xml:space="preserve">de </w:t>
      </w:r>
      <w:r w:rsidRPr="00A54622">
        <w:rPr>
          <w:rFonts w:ascii="Bookman Old Style" w:hAnsi="Bookman Old Style" w:cs="Arial"/>
          <w:lang w:val="es-MX"/>
        </w:rPr>
        <w:t xml:space="preserve">este como agente administrador, no surge del acta que se hubiese discutido la cancelación del contrato o la ratificación del nuevo contrato de agente administrador por parte </w:t>
      </w:r>
      <w:r w:rsidR="006C47F5" w:rsidRPr="00A54622">
        <w:rPr>
          <w:rFonts w:ascii="Bookman Old Style" w:hAnsi="Bookman Old Style" w:cs="Arial"/>
          <w:lang w:val="es-MX"/>
        </w:rPr>
        <w:t>de la parte apelada</w:t>
      </w:r>
      <w:r w:rsidRPr="00A54622">
        <w:rPr>
          <w:rFonts w:ascii="Bookman Old Style" w:hAnsi="Bookman Old Style" w:cs="Arial"/>
          <w:lang w:val="es-MX"/>
        </w:rPr>
        <w:t xml:space="preserve">. Del mismo modo, </w:t>
      </w:r>
      <w:r w:rsidR="00AA63F6" w:rsidRPr="00A54622">
        <w:rPr>
          <w:rFonts w:ascii="Bookman Old Style" w:hAnsi="Bookman Old Style" w:cs="Arial"/>
          <w:lang w:val="es-MX"/>
        </w:rPr>
        <w:t xml:space="preserve">arguye </w:t>
      </w:r>
      <w:r w:rsidRPr="00A54622">
        <w:rPr>
          <w:rFonts w:ascii="Bookman Old Style" w:hAnsi="Bookman Old Style" w:cs="Arial"/>
          <w:lang w:val="es-MX"/>
        </w:rPr>
        <w:t>que existe ausencia total de prueba sobre la debida notificación del acta de la</w:t>
      </w:r>
      <w:r w:rsidR="000B7BB2" w:rsidRPr="00A54622">
        <w:rPr>
          <w:rFonts w:ascii="Bookman Old Style" w:hAnsi="Bookman Old Style" w:cs="Arial"/>
          <w:lang w:val="es-MX"/>
        </w:rPr>
        <w:t xml:space="preserve"> referida</w:t>
      </w:r>
      <w:r w:rsidRPr="00A54622">
        <w:rPr>
          <w:rFonts w:ascii="Bookman Old Style" w:hAnsi="Bookman Old Style" w:cs="Arial"/>
          <w:lang w:val="es-MX"/>
        </w:rPr>
        <w:t xml:space="preserve"> asamblea a todos los titulares.  </w:t>
      </w:r>
    </w:p>
    <w:p w14:paraId="73EEB44F" w14:textId="04302099" w:rsidR="00847E18" w:rsidRPr="00A54622" w:rsidRDefault="009E4F6D" w:rsidP="008156E1">
      <w:pPr>
        <w:spacing w:line="480" w:lineRule="auto"/>
        <w:ind w:firstLine="720"/>
        <w:contextualSpacing/>
        <w:jc w:val="both"/>
        <w:rPr>
          <w:rFonts w:ascii="Bookman Old Style" w:hAnsi="Bookman Old Style" w:cs="Arial"/>
        </w:rPr>
      </w:pPr>
      <w:r w:rsidRPr="00A54622">
        <w:rPr>
          <w:rFonts w:ascii="Bookman Old Style" w:hAnsi="Bookman Old Style" w:cs="Arial"/>
          <w:lang w:val="es-MX"/>
        </w:rPr>
        <w:t xml:space="preserve">Contrario </w:t>
      </w:r>
      <w:r w:rsidRPr="00A54622">
        <w:rPr>
          <w:rFonts w:ascii="Bookman Old Style" w:hAnsi="Bookman Old Style" w:cs="Arial"/>
        </w:rPr>
        <w:t>a lo propuesto por la parte apelante, de la evidencia documental que obra en el expediente surge que</w:t>
      </w:r>
      <w:r w:rsidR="005B60B6" w:rsidRPr="00A54622">
        <w:rPr>
          <w:rFonts w:ascii="Bookman Old Style" w:hAnsi="Bookman Old Style" w:cs="Arial"/>
        </w:rPr>
        <w:t xml:space="preserve"> en</w:t>
      </w:r>
      <w:r w:rsidRPr="00A54622">
        <w:rPr>
          <w:rFonts w:ascii="Bookman Old Style" w:hAnsi="Bookman Old Style" w:cs="Arial"/>
        </w:rPr>
        <w:t xml:space="preserve"> la carta emitida por la parte apelada hac</w:t>
      </w:r>
      <w:r w:rsidR="00A45EE1" w:rsidRPr="00A54622">
        <w:rPr>
          <w:rFonts w:ascii="Bookman Old Style" w:hAnsi="Bookman Old Style" w:cs="Arial"/>
        </w:rPr>
        <w:t>i</w:t>
      </w:r>
      <w:r w:rsidRPr="00A54622">
        <w:rPr>
          <w:rFonts w:ascii="Bookman Old Style" w:hAnsi="Bookman Old Style" w:cs="Arial"/>
        </w:rPr>
        <w:t>a este</w:t>
      </w:r>
      <w:r w:rsidR="00955844" w:rsidRPr="00A54622">
        <w:rPr>
          <w:rFonts w:ascii="Bookman Old Style" w:hAnsi="Bookman Old Style" w:cs="Arial"/>
        </w:rPr>
        <w:t>,</w:t>
      </w:r>
      <w:r w:rsidR="005B60B6" w:rsidRPr="00A54622">
        <w:rPr>
          <w:rFonts w:ascii="Bookman Old Style" w:hAnsi="Bookman Old Style" w:cs="Arial"/>
        </w:rPr>
        <w:t xml:space="preserve"> se</w:t>
      </w:r>
      <w:r w:rsidRPr="00A54622">
        <w:rPr>
          <w:rFonts w:ascii="Bookman Old Style" w:hAnsi="Bookman Old Style" w:cs="Arial"/>
        </w:rPr>
        <w:t xml:space="preserve"> le notificó la decisión de no renovar su contrato como agente administrador previo a su vencimiento el 17 de agosto de 2021, extendiendo la vigencia de sus funciones hasta el 31 de agosto de 2021. Surge, además, que la parte apelada convocó una asamblea extraordinaria para el 17 de septiembre de 2021, en la cual se discutiría la cancelación del contrato de la parte apelante y la confirmación del contrato de Olga </w:t>
      </w:r>
      <w:proofErr w:type="spellStart"/>
      <w:r w:rsidRPr="00A54622">
        <w:rPr>
          <w:rFonts w:ascii="Bookman Old Style" w:hAnsi="Bookman Old Style" w:cs="Arial"/>
        </w:rPr>
        <w:t>Ruberté</w:t>
      </w:r>
      <w:proofErr w:type="spellEnd"/>
      <w:r w:rsidRPr="00A54622">
        <w:rPr>
          <w:rFonts w:ascii="Bookman Old Style" w:hAnsi="Bookman Old Style" w:cs="Arial"/>
        </w:rPr>
        <w:t xml:space="preserve"> como la nueva agente administradora del </w:t>
      </w:r>
      <w:r w:rsidRPr="00A54622">
        <w:rPr>
          <w:rFonts w:ascii="Bookman Old Style" w:hAnsi="Bookman Old Style" w:cs="Arial"/>
          <w:lang w:val="es-MX"/>
        </w:rPr>
        <w:t>Condominio Caribe Golf Villas</w:t>
      </w:r>
      <w:r w:rsidRPr="00A54622">
        <w:rPr>
          <w:rFonts w:ascii="Bookman Old Style" w:hAnsi="Bookman Old Style" w:cs="Arial"/>
        </w:rPr>
        <w:t>. Del mismo modo, del Acta de la asamblea extraordinaria celebrada surge que el asunto de la cancelación del contrato del apelante fue discutido y la confirmación de</w:t>
      </w:r>
      <w:r w:rsidR="00533910" w:rsidRPr="00A54622">
        <w:rPr>
          <w:rFonts w:ascii="Bookman Old Style" w:hAnsi="Bookman Old Style" w:cs="Arial"/>
        </w:rPr>
        <w:t xml:space="preserve"> la nueva agente administradora</w:t>
      </w:r>
      <w:r w:rsidRPr="00A54622">
        <w:rPr>
          <w:rFonts w:ascii="Bookman Old Style" w:hAnsi="Bookman Old Style" w:cs="Arial"/>
        </w:rPr>
        <w:t xml:space="preserve"> fue aprobada por la mayoría de los titulares, por lo que la decisión de la parte apelada de no continuar con el contrato del apelante fue confirmada por la mayoría de los titulares. Concluimos que el trámite antes expuesto cumplió con el procedimiento establecido para la destitución del agente administrador</w:t>
      </w:r>
      <w:r w:rsidR="00533910" w:rsidRPr="00A54622">
        <w:rPr>
          <w:rFonts w:ascii="Bookman Old Style" w:hAnsi="Bookman Old Style" w:cs="Arial"/>
        </w:rPr>
        <w:t>,</w:t>
      </w:r>
      <w:r w:rsidRPr="00A54622">
        <w:rPr>
          <w:rFonts w:ascii="Bookman Old Style" w:hAnsi="Bookman Old Style" w:cs="Arial"/>
        </w:rPr>
        <w:t xml:space="preserve"> conforme a lo dispuesto en la </w:t>
      </w:r>
      <w:r w:rsidRPr="00A54622">
        <w:rPr>
          <w:rFonts w:ascii="Bookman Old Style" w:hAnsi="Bookman Old Style" w:cs="Arial"/>
          <w:i/>
          <w:iCs/>
        </w:rPr>
        <w:t>Ley de Condominios de Puerto Rico</w:t>
      </w:r>
      <w:r w:rsidRPr="00A54622">
        <w:rPr>
          <w:rFonts w:ascii="Bookman Old Style" w:hAnsi="Bookman Old Style" w:cs="Arial"/>
        </w:rPr>
        <w:t xml:space="preserve">¸ supra, por lo que no le asiste la razón a la parte apelante respecto al planteamiento de la cancelación de su contrato </w:t>
      </w:r>
      <w:r w:rsidR="00533910" w:rsidRPr="00A54622">
        <w:rPr>
          <w:rFonts w:ascii="Bookman Old Style" w:hAnsi="Bookman Old Style" w:cs="Arial"/>
        </w:rPr>
        <w:t>como</w:t>
      </w:r>
      <w:r w:rsidRPr="00A54622">
        <w:rPr>
          <w:rFonts w:ascii="Bookman Old Style" w:hAnsi="Bookman Old Style" w:cs="Arial"/>
        </w:rPr>
        <w:t xml:space="preserve"> agente administrador. </w:t>
      </w:r>
    </w:p>
    <w:p w14:paraId="01F3E979" w14:textId="1B71029E" w:rsidR="00D778C9" w:rsidRPr="00A54622" w:rsidRDefault="000F1B27" w:rsidP="008156E1">
      <w:pPr>
        <w:spacing w:line="480" w:lineRule="auto"/>
        <w:ind w:firstLine="720"/>
        <w:contextualSpacing/>
        <w:jc w:val="both"/>
        <w:rPr>
          <w:rFonts w:ascii="Bookman Old Style" w:hAnsi="Bookman Old Style" w:cs="Arial"/>
          <w:lang w:val="es-MX"/>
        </w:rPr>
      </w:pPr>
      <w:r w:rsidRPr="00A54622">
        <w:rPr>
          <w:rFonts w:ascii="Bookman Old Style" w:hAnsi="Bookman Old Style" w:cs="Arial"/>
        </w:rPr>
        <w:t xml:space="preserve">En cuanto a </w:t>
      </w:r>
      <w:r w:rsidR="00D778C9" w:rsidRPr="00A54622">
        <w:rPr>
          <w:rFonts w:ascii="Bookman Old Style" w:hAnsi="Bookman Old Style" w:cs="Arial"/>
        </w:rPr>
        <w:t xml:space="preserve">los planteamientos de la parte apelante </w:t>
      </w:r>
      <w:r w:rsidRPr="00A54622">
        <w:rPr>
          <w:rFonts w:ascii="Bookman Old Style" w:hAnsi="Bookman Old Style" w:cs="Arial"/>
        </w:rPr>
        <w:t xml:space="preserve">sobre </w:t>
      </w:r>
      <w:r w:rsidR="00AD16E1" w:rsidRPr="00A54622">
        <w:rPr>
          <w:rFonts w:ascii="Bookman Old Style" w:hAnsi="Bookman Old Style" w:cs="Arial"/>
        </w:rPr>
        <w:t>l</w:t>
      </w:r>
      <w:r w:rsidR="00D909D4" w:rsidRPr="00A54622">
        <w:rPr>
          <w:rFonts w:ascii="Bookman Old Style" w:hAnsi="Bookman Old Style" w:cs="Arial"/>
        </w:rPr>
        <w:t>o ocurrido</w:t>
      </w:r>
      <w:r w:rsidR="00BC4734" w:rsidRPr="00A54622">
        <w:rPr>
          <w:rFonts w:ascii="Bookman Old Style" w:hAnsi="Bookman Old Style" w:cs="Arial"/>
        </w:rPr>
        <w:t xml:space="preserve"> </w:t>
      </w:r>
      <w:r w:rsidR="00BF0EB8" w:rsidRPr="00A54622">
        <w:rPr>
          <w:rFonts w:ascii="Bookman Old Style" w:hAnsi="Bookman Old Style" w:cs="Arial"/>
        </w:rPr>
        <w:t>en la asamblea extraordinaria del 17 de septiembre de 2021 y la alegada falta de notificación de</w:t>
      </w:r>
      <w:r w:rsidR="00533910" w:rsidRPr="00A54622">
        <w:rPr>
          <w:rFonts w:ascii="Bookman Old Style" w:hAnsi="Bookman Old Style" w:cs="Arial"/>
        </w:rPr>
        <w:t>l</w:t>
      </w:r>
      <w:r w:rsidR="00BF0EB8" w:rsidRPr="00A54622">
        <w:rPr>
          <w:rFonts w:ascii="Bookman Old Style" w:hAnsi="Bookman Old Style" w:cs="Arial"/>
        </w:rPr>
        <w:t xml:space="preserve"> acta a los titulares del </w:t>
      </w:r>
      <w:r w:rsidR="00BF0EB8" w:rsidRPr="00A54622">
        <w:rPr>
          <w:rFonts w:ascii="Bookman Old Style" w:hAnsi="Bookman Old Style" w:cs="Arial"/>
          <w:lang w:val="es-MX"/>
        </w:rPr>
        <w:t xml:space="preserve">Condominio Caribe Golf Villas, concluimos </w:t>
      </w:r>
      <w:r w:rsidR="003745C6" w:rsidRPr="00A54622">
        <w:rPr>
          <w:rFonts w:ascii="Bookman Old Style" w:hAnsi="Bookman Old Style" w:cs="Arial"/>
          <w:lang w:val="es-MX"/>
        </w:rPr>
        <w:t xml:space="preserve">que </w:t>
      </w:r>
      <w:r w:rsidR="00BF0EB8" w:rsidRPr="00A54622">
        <w:rPr>
          <w:rFonts w:ascii="Bookman Old Style" w:hAnsi="Bookman Old Style" w:cs="Arial"/>
          <w:lang w:val="es-MX"/>
        </w:rPr>
        <w:t xml:space="preserve">conforme </w:t>
      </w:r>
      <w:r w:rsidR="004F3A66" w:rsidRPr="00A54622">
        <w:rPr>
          <w:rFonts w:ascii="Bookman Old Style" w:hAnsi="Bookman Old Style" w:cs="Arial"/>
          <w:lang w:val="es-MX"/>
        </w:rPr>
        <w:t xml:space="preserve">a </w:t>
      </w:r>
      <w:r w:rsidR="00BF0EB8" w:rsidRPr="00A54622">
        <w:rPr>
          <w:rFonts w:ascii="Bookman Old Style" w:hAnsi="Bookman Old Style" w:cs="Arial"/>
          <w:lang w:val="es-MX"/>
        </w:rPr>
        <w:t xml:space="preserve">lo establecido en el </w:t>
      </w:r>
      <w:r w:rsidR="00C3205A" w:rsidRPr="00A54622">
        <w:rPr>
          <w:rFonts w:ascii="Bookman Old Style" w:hAnsi="Bookman Old Style" w:cs="Arial"/>
        </w:rPr>
        <w:t xml:space="preserve">Artículo 65 de la </w:t>
      </w:r>
      <w:r w:rsidR="00C3205A" w:rsidRPr="00A54622">
        <w:rPr>
          <w:rFonts w:ascii="Bookman Old Style" w:hAnsi="Bookman Old Style" w:cs="Arial"/>
          <w:i/>
          <w:iCs/>
        </w:rPr>
        <w:t>Ley de Condominios de Puerto Rico</w:t>
      </w:r>
      <w:r w:rsidR="00C3205A" w:rsidRPr="00A54622">
        <w:rPr>
          <w:rFonts w:ascii="Bookman Old Style" w:hAnsi="Bookman Old Style" w:cs="Arial"/>
        </w:rPr>
        <w:t xml:space="preserve">, </w:t>
      </w:r>
      <w:r w:rsidR="003745C6" w:rsidRPr="00A54622">
        <w:rPr>
          <w:rFonts w:ascii="Bookman Old Style" w:hAnsi="Bookman Old Style" w:cs="Arial"/>
        </w:rPr>
        <w:t>supra, la parte</w:t>
      </w:r>
      <w:r w:rsidR="00432D36" w:rsidRPr="00A54622">
        <w:rPr>
          <w:rFonts w:ascii="Bookman Old Style" w:hAnsi="Bookman Old Style" w:cs="Arial"/>
        </w:rPr>
        <w:t xml:space="preserve"> apelante</w:t>
      </w:r>
      <w:r w:rsidR="003745C6" w:rsidRPr="00A54622">
        <w:rPr>
          <w:rFonts w:ascii="Bookman Old Style" w:hAnsi="Bookman Old Style" w:cs="Arial"/>
        </w:rPr>
        <w:t xml:space="preserve"> carece de legitimación activa para impugnar la</w:t>
      </w:r>
      <w:r w:rsidR="00432D36" w:rsidRPr="00A54622">
        <w:rPr>
          <w:rFonts w:ascii="Bookman Old Style" w:hAnsi="Bookman Old Style" w:cs="Arial"/>
        </w:rPr>
        <w:t xml:space="preserve">s supuestas actuaciones de la parte apelada, pues </w:t>
      </w:r>
      <w:r w:rsidR="00375432" w:rsidRPr="00A54622">
        <w:rPr>
          <w:rFonts w:ascii="Bookman Old Style" w:hAnsi="Bookman Old Style" w:cs="Arial"/>
        </w:rPr>
        <w:t>la parte apelante</w:t>
      </w:r>
      <w:r w:rsidR="00432D36" w:rsidRPr="00A54622">
        <w:rPr>
          <w:rFonts w:ascii="Bookman Old Style" w:hAnsi="Bookman Old Style" w:cs="Arial"/>
        </w:rPr>
        <w:t xml:space="preserve"> no es titular </w:t>
      </w:r>
      <w:r w:rsidR="002A64D4" w:rsidRPr="00A54622">
        <w:rPr>
          <w:rFonts w:ascii="Bookman Old Style" w:hAnsi="Bookman Old Style" w:cs="Arial"/>
        </w:rPr>
        <w:t>en el</w:t>
      </w:r>
      <w:r w:rsidR="00432D36" w:rsidRPr="00A54622">
        <w:rPr>
          <w:rFonts w:ascii="Bookman Old Style" w:hAnsi="Bookman Old Style" w:cs="Arial"/>
        </w:rPr>
        <w:t xml:space="preserve"> </w:t>
      </w:r>
      <w:r w:rsidR="00432D36" w:rsidRPr="00A54622">
        <w:rPr>
          <w:rFonts w:ascii="Bookman Old Style" w:hAnsi="Bookman Old Style" w:cs="Arial"/>
          <w:lang w:val="es-MX"/>
        </w:rPr>
        <w:t xml:space="preserve">Condominio Caribe Golf Villas. </w:t>
      </w:r>
    </w:p>
    <w:p w14:paraId="6E12E1F0" w14:textId="77777777" w:rsidR="00ED7512" w:rsidRPr="00A54622" w:rsidRDefault="00684DF4" w:rsidP="00ED7512">
      <w:pPr>
        <w:spacing w:line="480" w:lineRule="auto"/>
        <w:ind w:firstLine="720"/>
        <w:jc w:val="both"/>
        <w:rPr>
          <w:rFonts w:ascii="Bookman Old Style" w:hAnsi="Bookman Old Style" w:cs="Arial"/>
        </w:rPr>
      </w:pPr>
      <w:r w:rsidRPr="00A54622">
        <w:rPr>
          <w:rFonts w:ascii="Bookman Old Style" w:hAnsi="Bookman Old Style" w:cs="Arial"/>
        </w:rPr>
        <w:t xml:space="preserve">En virtud de lo anterior, colegimos que el Tribunal de Primera Instancia no erró al emitir la </w:t>
      </w:r>
      <w:r w:rsidRPr="00A54622">
        <w:rPr>
          <w:rFonts w:ascii="Bookman Old Style" w:hAnsi="Bookman Old Style" w:cs="Arial"/>
          <w:i/>
          <w:iCs/>
        </w:rPr>
        <w:t xml:space="preserve">Sentencia </w:t>
      </w:r>
      <w:r w:rsidRPr="00A54622">
        <w:rPr>
          <w:rFonts w:ascii="Bookman Old Style" w:hAnsi="Bookman Old Style" w:cs="Arial"/>
        </w:rPr>
        <w:t xml:space="preserve">desestimando con perjuicio la </w:t>
      </w:r>
      <w:r w:rsidRPr="00A54622">
        <w:rPr>
          <w:rFonts w:ascii="Bookman Old Style" w:hAnsi="Bookman Old Style" w:cs="Arial"/>
          <w:i/>
          <w:iCs/>
        </w:rPr>
        <w:t>Demanda Enmendada</w:t>
      </w:r>
      <w:r w:rsidRPr="00A54622">
        <w:rPr>
          <w:rFonts w:ascii="Bookman Old Style" w:hAnsi="Bookman Old Style" w:cs="Arial"/>
        </w:rPr>
        <w:t xml:space="preserve"> presentada por la parte apelante. </w:t>
      </w:r>
      <w:r w:rsidR="00ED7512" w:rsidRPr="00A54622">
        <w:rPr>
          <w:rFonts w:ascii="Bookman Old Style" w:hAnsi="Bookman Old Style" w:cs="Arial"/>
        </w:rPr>
        <w:t xml:space="preserve">En fin, al evaluar concienzuda y ponderadamente </w:t>
      </w:r>
      <w:r w:rsidR="00ED7512" w:rsidRPr="00A54622">
        <w:rPr>
          <w:rFonts w:ascii="Bookman Old Style" w:hAnsi="Bookman Old Style" w:cs="Arial"/>
          <w:i/>
          <w:iCs/>
        </w:rPr>
        <w:t xml:space="preserve">de </w:t>
      </w:r>
      <w:proofErr w:type="spellStart"/>
      <w:r w:rsidR="00ED7512" w:rsidRPr="00A54622">
        <w:rPr>
          <w:rFonts w:ascii="Bookman Old Style" w:hAnsi="Bookman Old Style" w:cs="Arial"/>
          <w:i/>
          <w:iCs/>
        </w:rPr>
        <w:t>novo</w:t>
      </w:r>
      <w:proofErr w:type="spellEnd"/>
      <w:r w:rsidR="00ED7512" w:rsidRPr="00A54622">
        <w:rPr>
          <w:rFonts w:ascii="Bookman Old Style" w:hAnsi="Bookman Old Style" w:cs="Arial"/>
        </w:rPr>
        <w:t xml:space="preserve"> los eventos procesales al palio de la normativa jurídica antes esbozada, coincidimos con la determinación del foro apelado.</w:t>
      </w:r>
    </w:p>
    <w:p w14:paraId="203E5656" w14:textId="77777777" w:rsidR="00375432" w:rsidRPr="00A54622" w:rsidRDefault="00375432" w:rsidP="00375432">
      <w:pPr>
        <w:spacing w:line="480" w:lineRule="auto"/>
        <w:contextualSpacing/>
        <w:jc w:val="center"/>
        <w:rPr>
          <w:rFonts w:ascii="Bookman Old Style" w:hAnsi="Bookman Old Style" w:cs="Arial"/>
          <w:b/>
          <w:bCs/>
          <w:lang w:val="es-MX"/>
        </w:rPr>
      </w:pPr>
      <w:r w:rsidRPr="00A54622">
        <w:rPr>
          <w:rFonts w:ascii="Bookman Old Style" w:hAnsi="Bookman Old Style" w:cs="Arial"/>
          <w:b/>
          <w:bCs/>
          <w:lang w:val="es-MX"/>
        </w:rPr>
        <w:t>IV</w:t>
      </w:r>
    </w:p>
    <w:p w14:paraId="1282F0F8" w14:textId="77777777" w:rsidR="00375432" w:rsidRPr="00A54622" w:rsidRDefault="00375432" w:rsidP="00375432">
      <w:pPr>
        <w:spacing w:line="480" w:lineRule="auto"/>
        <w:ind w:firstLine="720"/>
        <w:contextualSpacing/>
        <w:jc w:val="both"/>
        <w:rPr>
          <w:rFonts w:ascii="Bookman Old Style" w:hAnsi="Bookman Old Style" w:cs="Arial"/>
        </w:rPr>
      </w:pPr>
      <w:r w:rsidRPr="00A54622">
        <w:rPr>
          <w:rFonts w:ascii="Bookman Old Style" w:hAnsi="Bookman Old Style" w:cs="Arial"/>
        </w:rPr>
        <w:t>Por las razones que anteceden, confirmamos el dictamen apelado.</w:t>
      </w:r>
    </w:p>
    <w:p w14:paraId="34A94F6B" w14:textId="0F4E5C4B" w:rsidR="00B43BE0" w:rsidRPr="00A54622" w:rsidRDefault="00B43BE0" w:rsidP="00047FB0">
      <w:pPr>
        <w:spacing w:line="480" w:lineRule="auto"/>
        <w:ind w:firstLine="720"/>
        <w:contextualSpacing/>
        <w:jc w:val="both"/>
        <w:rPr>
          <w:rFonts w:ascii="Bookman Old Style" w:hAnsi="Bookman Old Style" w:cs="Arial"/>
        </w:rPr>
      </w:pPr>
      <w:r w:rsidRPr="00A54622">
        <w:rPr>
          <w:rFonts w:ascii="Bookman Old Style" w:hAnsi="Bookman Old Style" w:cs="Arial"/>
        </w:rPr>
        <w:t>Lo acordó y manda el Tribunal</w:t>
      </w:r>
      <w:r w:rsidR="00B73DA5" w:rsidRPr="00A54622">
        <w:rPr>
          <w:rFonts w:ascii="Bookman Old Style" w:hAnsi="Bookman Old Style" w:cs="Arial"/>
        </w:rPr>
        <w:t>,</w:t>
      </w:r>
      <w:r w:rsidRPr="00A54622">
        <w:rPr>
          <w:rFonts w:ascii="Bookman Old Style" w:hAnsi="Bookman Old Style" w:cs="Arial"/>
        </w:rPr>
        <w:t xml:space="preserve"> y lo certifica la </w:t>
      </w:r>
      <w:proofErr w:type="gramStart"/>
      <w:r w:rsidRPr="00A54622">
        <w:rPr>
          <w:rFonts w:ascii="Bookman Old Style" w:hAnsi="Bookman Old Style" w:cs="Arial"/>
        </w:rPr>
        <w:t>Secretaria</w:t>
      </w:r>
      <w:proofErr w:type="gramEnd"/>
      <w:r w:rsidRPr="00A54622">
        <w:rPr>
          <w:rFonts w:ascii="Bookman Old Style" w:hAnsi="Bookman Old Style" w:cs="Arial"/>
        </w:rPr>
        <w:t xml:space="preserve"> del Tribunal de Apelaciones.</w:t>
      </w:r>
    </w:p>
    <w:p w14:paraId="5E587976" w14:textId="5C89CB9F" w:rsidR="00B04D33" w:rsidRPr="00A54622" w:rsidRDefault="00B04D33" w:rsidP="005C67CA">
      <w:pPr>
        <w:contextualSpacing/>
        <w:jc w:val="both"/>
        <w:rPr>
          <w:rFonts w:ascii="Bookman Old Style" w:hAnsi="Bookman Old Style" w:cs="Arial"/>
        </w:rPr>
      </w:pPr>
    </w:p>
    <w:p w14:paraId="2D557ECF" w14:textId="77777777" w:rsidR="006C7C82" w:rsidRPr="00A54622" w:rsidRDefault="006C7C82" w:rsidP="001700B7">
      <w:pPr>
        <w:contextualSpacing/>
        <w:jc w:val="both"/>
        <w:rPr>
          <w:rFonts w:ascii="Bookman Old Style" w:hAnsi="Bookman Old Style" w:cs="Arial"/>
        </w:rPr>
      </w:pPr>
    </w:p>
    <w:p w14:paraId="5F4464D4" w14:textId="77777777" w:rsidR="001700B7" w:rsidRPr="00A54622" w:rsidRDefault="001700B7" w:rsidP="001700B7">
      <w:pPr>
        <w:contextualSpacing/>
        <w:jc w:val="both"/>
        <w:rPr>
          <w:rFonts w:ascii="Bookman Old Style" w:hAnsi="Bookman Old Style" w:cs="Arial"/>
        </w:rPr>
      </w:pPr>
    </w:p>
    <w:p w14:paraId="0338898D" w14:textId="77777777" w:rsidR="00B04D33" w:rsidRPr="00A54622" w:rsidRDefault="00B04D33" w:rsidP="005C67CA">
      <w:pPr>
        <w:contextualSpacing/>
        <w:jc w:val="both"/>
        <w:rPr>
          <w:rFonts w:ascii="Bookman Old Style" w:hAnsi="Bookman Old Style" w:cs="Arial"/>
        </w:rPr>
      </w:pPr>
    </w:p>
    <w:p w14:paraId="747E3BB6" w14:textId="77777777" w:rsidR="004C6DCF" w:rsidRPr="00A54622" w:rsidRDefault="00A33A50" w:rsidP="00357989">
      <w:pPr>
        <w:contextualSpacing/>
        <w:jc w:val="center"/>
        <w:rPr>
          <w:rFonts w:ascii="Bookman Old Style" w:hAnsi="Bookman Old Style" w:cs="Arial"/>
        </w:rPr>
      </w:pPr>
      <w:r w:rsidRPr="00A54622">
        <w:rPr>
          <w:rFonts w:ascii="Bookman Old Style" w:hAnsi="Bookman Old Style" w:cs="Arial"/>
        </w:rPr>
        <w:t>Lcda. Lilia M. Oquendo Solís</w:t>
      </w:r>
    </w:p>
    <w:p w14:paraId="202872F6" w14:textId="6B198FFE" w:rsidR="007561D9" w:rsidRPr="00B67754" w:rsidRDefault="004C6DCF" w:rsidP="00B42162">
      <w:pPr>
        <w:contextualSpacing/>
        <w:jc w:val="center"/>
        <w:rPr>
          <w:rFonts w:ascii="Bookman Old Style" w:hAnsi="Bookman Old Style" w:cs="Arial"/>
        </w:rPr>
      </w:pPr>
      <w:r w:rsidRPr="00A54622">
        <w:rPr>
          <w:rFonts w:ascii="Bookman Old Style" w:hAnsi="Bookman Old Style" w:cs="Arial"/>
        </w:rPr>
        <w:t>Secreta</w:t>
      </w:r>
      <w:r w:rsidR="006B138A" w:rsidRPr="00A54622">
        <w:rPr>
          <w:rFonts w:ascii="Bookman Old Style" w:hAnsi="Bookman Old Style" w:cs="Arial"/>
        </w:rPr>
        <w:t>ria del Tribunal de Apelaciones</w:t>
      </w:r>
    </w:p>
    <w:sectPr w:rsidR="007561D9" w:rsidRPr="00B67754" w:rsidSect="004E523F">
      <w:headerReference w:type="even" r:id="rId8"/>
      <w:headerReference w:type="default" r:id="rId9"/>
      <w:footerReference w:type="even" r:id="rId10"/>
      <w:footerReference w:type="default" r:id="rId11"/>
      <w:footerReference w:type="first" r:id="rId12"/>
      <w:pgSz w:w="12240" w:h="20160" w:code="5"/>
      <w:pgMar w:top="1440" w:right="2160" w:bottom="1440" w:left="2160" w:header="0" w:footer="88" w:gutter="0"/>
      <w:paperSrc w:first="15"/>
      <w:pgBorders>
        <w:top w:val="single" w:sz="4" w:space="8" w:color="auto"/>
        <w:left w:val="single" w:sz="4" w:space="6" w:color="auto"/>
        <w:bottom w:val="single" w:sz="4" w:space="6" w:color="auto"/>
        <w:right w:val="single" w:sz="4" w:space="6" w:color="auto"/>
      </w:pgBorders>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EDB84" w14:textId="77777777" w:rsidR="00CA0B98" w:rsidRDefault="00CA0B98">
      <w:r>
        <w:separator/>
      </w:r>
    </w:p>
  </w:endnote>
  <w:endnote w:type="continuationSeparator" w:id="0">
    <w:p w14:paraId="781662DE" w14:textId="77777777" w:rsidR="00CA0B98" w:rsidRDefault="00CA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1ECCB" w14:textId="77777777" w:rsidR="0076026C" w:rsidRDefault="008D1BBF">
    <w:pPr>
      <w:pStyle w:val="Footer"/>
    </w:pPr>
    <w:r>
      <w:rPr>
        <w:rFonts w:ascii="Bookman Old Style" w:hAnsi="Bookman Old Style" w:cs="Arial"/>
        <w:noProof/>
        <w:lang w:val="en-US"/>
      </w:rPr>
      <mc:AlternateContent>
        <mc:Choice Requires="wps">
          <w:drawing>
            <wp:anchor distT="0" distB="0" distL="114300" distR="114300" simplePos="0" relativeHeight="251675648" behindDoc="0" locked="1" layoutInCell="0" allowOverlap="1" wp14:anchorId="645FE862" wp14:editId="4E62EE70">
              <wp:simplePos x="0" y="0"/>
              <wp:positionH relativeFrom="insideMargin">
                <wp:posOffset>-5734050</wp:posOffset>
              </wp:positionH>
              <wp:positionV relativeFrom="paragraph">
                <wp:posOffset>-12585700</wp:posOffset>
              </wp:positionV>
              <wp:extent cx="0" cy="12810490"/>
              <wp:effectExtent l="0" t="0" r="19050" b="10160"/>
              <wp:wrapNone/>
              <wp:docPr id="9" name="Straight Connector 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12810490"/>
                      </a:xfrm>
                      <a:prstGeom prst="line">
                        <a:avLst/>
                      </a:prstGeom>
                      <a:ln w="3810">
                        <a:solidFill>
                          <a:schemeClr val="tx1"/>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8E8623" id="Straight Connector 9" o:spid="_x0000_s1026" style="position:absolute;z-index:251675648;visibility:visible;mso-wrap-style:square;mso-width-percent:0;mso-height-percent:0;mso-wrap-distance-left:9pt;mso-wrap-distance-top:0;mso-wrap-distance-right:9pt;mso-wrap-distance-bottom:0;mso-position-horizontal:absolute;mso-position-horizontal-relative:outer-margin-area;mso-position-vertical:absolute;mso-position-vertical-relative:text;mso-width-percent:0;mso-height-percent:0;mso-width-relative:margin;mso-height-relative:margin" from="-451.5pt,-991pt" to="-45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" o:allowincell="f" strokecolor="black [3213]" strokeweight=".3pt">
              <o:lock v:ext="edit" aspectratio="t" shapetype="f"/>
              <w10:wrap anchorx="margin"/>
              <w10:anchorlock/>
            </v:line>
          </w:pict>
        </mc:Fallback>
      </mc:AlternateContent>
    </w:r>
    <w:r>
      <w:rPr>
        <w:rFonts w:ascii="Bookman Old Style" w:hAnsi="Bookman Old Style" w:cs="Arial"/>
        <w:noProof/>
        <w:lang w:val="en-US"/>
      </w:rPr>
      <mc:AlternateContent>
        <mc:Choice Requires="wps">
          <w:drawing>
            <wp:anchor distT="0" distB="0" distL="114300" distR="114300" simplePos="0" relativeHeight="251673600" behindDoc="0" locked="1" layoutInCell="0" allowOverlap="1" wp14:anchorId="44621BAC" wp14:editId="02CC7F4A">
              <wp:simplePos x="0" y="0"/>
              <wp:positionH relativeFrom="insideMargin">
                <wp:posOffset>-5680075</wp:posOffset>
              </wp:positionH>
              <wp:positionV relativeFrom="paragraph">
                <wp:posOffset>-12590145</wp:posOffset>
              </wp:positionV>
              <wp:extent cx="0" cy="12813030"/>
              <wp:effectExtent l="0" t="0" r="19050" b="26670"/>
              <wp:wrapNone/>
              <wp:docPr id="8" name="Straight Connector 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12813030"/>
                      </a:xfrm>
                      <a:prstGeom prst="line">
                        <a:avLst/>
                      </a:prstGeom>
                      <a:ln w="3810">
                        <a:solidFill>
                          <a:schemeClr val="tx1"/>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99E6AF"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outer-margin-area;mso-position-vertical:absolute;mso-position-vertical-relative:text;mso-width-percent:0;mso-height-percent:0;mso-width-relative:margin;mso-height-relative:margin" from="-447.25pt,-991.35pt" to="-447.2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" o:allowincell="f" strokecolor="black [3213]" strokeweight=".3pt">
              <o:lock v:ext="edit" aspectratio="t" shapetype="f"/>
              <w10:wrap anchorx="margin"/>
              <w10:anchorlock/>
            </v:line>
          </w:pict>
        </mc:Fallback>
      </mc:AlternateContent>
    </w:r>
    <w:r w:rsidR="005B4DF9">
      <w:rPr>
        <w:rFonts w:ascii="Bookman Old Style" w:hAnsi="Bookman Old Style" w:cs="Arial"/>
        <w:noProof/>
        <w:lang w:val="en-US"/>
      </w:rPr>
      <mc:AlternateContent>
        <mc:Choice Requires="wps">
          <w:drawing>
            <wp:anchor distT="0" distB="0" distL="114300" distR="114300" simplePos="0" relativeHeight="251669504" behindDoc="0" locked="1" layoutInCell="0" allowOverlap="1" wp14:anchorId="7A3BD946" wp14:editId="650B56C1">
              <wp:simplePos x="0" y="0"/>
              <wp:positionH relativeFrom="insideMargin">
                <wp:posOffset>-6467475</wp:posOffset>
              </wp:positionH>
              <wp:positionV relativeFrom="paragraph">
                <wp:posOffset>-11586210</wp:posOffset>
              </wp:positionV>
              <wp:extent cx="0" cy="12783312"/>
              <wp:effectExtent l="0" t="0" r="19050" b="18415"/>
              <wp:wrapNone/>
              <wp:docPr id="5" name="Straight Connector 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12783312"/>
                      </a:xfrm>
                      <a:prstGeom prst="line">
                        <a:avLst/>
                      </a:prstGeom>
                      <a:ln w="3810">
                        <a:solidFill>
                          <a:schemeClr val="tx1"/>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0FD03"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outer-margin-area;mso-position-vertical:absolute;mso-position-vertical-relative:text;mso-width-percent:0;mso-height-percent:0;mso-width-relative:margin;mso-height-relative:margin" from="-509.25pt,-912.3pt" to="-509.2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" o:allowincell="f" strokecolor="black [3213]" strokeweight=".3pt">
              <o:lock v:ext="edit" aspectratio="t" shapetype="f"/>
              <w10:wrap anchorx="margin"/>
              <w10:anchorlock/>
            </v:line>
          </w:pict>
        </mc:Fallback>
      </mc:AlternateContent>
    </w:r>
    <w:r w:rsidR="0076026C">
      <w:rPr>
        <w:rFonts w:ascii="Bookman Old Style" w:hAnsi="Bookman Old Style" w:cs="Arial"/>
        <w:noProof/>
        <w:lang w:val="en-US"/>
      </w:rPr>
      <mc:AlternateContent>
        <mc:Choice Requires="wps">
          <w:drawing>
            <wp:anchor distT="0" distB="0" distL="114300" distR="114300" simplePos="0" relativeHeight="251663360" behindDoc="0" locked="1" layoutInCell="0" allowOverlap="1" wp14:anchorId="7F0C127C" wp14:editId="0D2E203A">
              <wp:simplePos x="0" y="0"/>
              <wp:positionH relativeFrom="insideMargin">
                <wp:posOffset>-6426200</wp:posOffset>
              </wp:positionH>
              <wp:positionV relativeFrom="paragraph">
                <wp:posOffset>-11586210</wp:posOffset>
              </wp:positionV>
              <wp:extent cx="0" cy="12783185"/>
              <wp:effectExtent l="0" t="0" r="19050" b="18415"/>
              <wp:wrapNone/>
              <wp:docPr id="2" name="Straight Connector 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12783185"/>
                      </a:xfrm>
                      <a:prstGeom prst="line">
                        <a:avLst/>
                      </a:prstGeom>
                      <a:ln w="3810">
                        <a:solidFill>
                          <a:schemeClr val="tx1"/>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87F3D"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outer-margin-area;mso-position-vertical:absolute;mso-position-vertical-relative:text;mso-width-percent:0;mso-height-percent:0;mso-width-relative:margin;mso-height-relative:margin" from="-506pt,-912.3pt" to="-506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" o:allowincell="f" strokecolor="black [3213]" strokeweight=".3pt">
              <o:lock v:ext="edit" aspectratio="t" shapetype="f"/>
              <w10:wrap anchorx="margin"/>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CCD52" w14:textId="77777777" w:rsidR="0076026C" w:rsidRDefault="005B4DF9">
    <w:pPr>
      <w:pStyle w:val="Footer"/>
    </w:pPr>
    <w:r>
      <w:rPr>
        <w:rFonts w:ascii="Bookman Old Style" w:hAnsi="Bookman Old Style" w:cs="Arial"/>
        <w:noProof/>
        <w:lang w:val="en-US"/>
      </w:rPr>
      <mc:AlternateContent>
        <mc:Choice Requires="wps">
          <w:drawing>
            <wp:anchor distT="0" distB="0" distL="114300" distR="114300" simplePos="0" relativeHeight="251671552" behindDoc="0" locked="1" layoutInCell="0" allowOverlap="1" wp14:anchorId="3D970A3E" wp14:editId="6670B6B3">
              <wp:simplePos x="0" y="0"/>
              <wp:positionH relativeFrom="insideMargin">
                <wp:posOffset>673735</wp:posOffset>
              </wp:positionH>
              <wp:positionV relativeFrom="paragraph">
                <wp:posOffset>-12567920</wp:posOffset>
              </wp:positionV>
              <wp:extent cx="0" cy="12810490"/>
              <wp:effectExtent l="0" t="0" r="19050" b="10160"/>
              <wp:wrapNone/>
              <wp:docPr id="7" name="Straight Connector 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12810490"/>
                      </a:xfrm>
                      <a:prstGeom prst="line">
                        <a:avLst/>
                      </a:prstGeom>
                      <a:ln w="3810">
                        <a:solidFill>
                          <a:schemeClr val="tx1"/>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4EB13"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outer-margin-area;mso-position-vertical:absolute;mso-position-vertical-relative:text;mso-width-percent:0;mso-height-percent:0;mso-width-relative:margin;mso-height-relative:margin" from="53.05pt,-989.6pt" to="53.0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" o:allowincell="f" strokecolor="black [3213]" strokeweight=".3pt">
              <o:lock v:ext="edit" aspectratio="t" shapetype="f"/>
              <w10:wrap anchorx="margin"/>
              <w10:anchorlock/>
            </v:line>
          </w:pict>
        </mc:Fallback>
      </mc:AlternateContent>
    </w:r>
    <w:r w:rsidR="00360D65">
      <w:rPr>
        <w:rFonts w:ascii="Bookman Old Style" w:hAnsi="Bookman Old Style" w:cs="Arial"/>
        <w:noProof/>
        <w:lang w:val="en-US"/>
      </w:rPr>
      <mc:AlternateContent>
        <mc:Choice Requires="wps">
          <w:drawing>
            <wp:anchor distT="0" distB="0" distL="114300" distR="114300" simplePos="0" relativeHeight="251665408" behindDoc="0" locked="1" layoutInCell="0" allowOverlap="1" wp14:anchorId="0D1DEA7D" wp14:editId="4FB981BE">
              <wp:simplePos x="0" y="0"/>
              <wp:positionH relativeFrom="insideMargin">
                <wp:posOffset>715010</wp:posOffset>
              </wp:positionH>
              <wp:positionV relativeFrom="paragraph">
                <wp:posOffset>-12564745</wp:posOffset>
              </wp:positionV>
              <wp:extent cx="0" cy="12807315"/>
              <wp:effectExtent l="0" t="0" r="19050" b="13335"/>
              <wp:wrapNone/>
              <wp:docPr id="3" name="Straight Connector 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12807315"/>
                      </a:xfrm>
                      <a:prstGeom prst="line">
                        <a:avLst/>
                      </a:prstGeom>
                      <a:ln w="3810">
                        <a:solidFill>
                          <a:schemeClr val="tx1"/>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D3014"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outer-margin-area;mso-position-vertical:absolute;mso-position-vertical-relative:text;mso-width-percent:0;mso-height-percent:0;mso-width-relative:margin;mso-height-relative:margin" from="56.3pt,-989.35pt" to="56.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" o:allowincell="f" strokecolor="black [3213]" strokeweight=".3pt">
              <o:lock v:ext="edit" aspectratio="t" shapetype="f"/>
              <w10:wrap anchorx="margin"/>
              <w10:anchorlock/>
            </v:line>
          </w:pict>
        </mc:Fallback>
      </mc:AlternateContent>
    </w:r>
    <w:r w:rsidR="0076026C">
      <w:rPr>
        <w:rFonts w:ascii="Bookman Old Style" w:hAnsi="Bookman Old Style" w:cs="Arial"/>
        <w:noProof/>
        <w:lang w:val="en-US"/>
      </w:rPr>
      <mc:AlternateContent>
        <mc:Choice Requires="wps">
          <w:drawing>
            <wp:anchor distT="0" distB="0" distL="114300" distR="114300" simplePos="0" relativeHeight="251659264" behindDoc="0" locked="1" layoutInCell="0" allowOverlap="1" wp14:anchorId="1AB3490A" wp14:editId="6B05D780">
              <wp:simplePos x="0" y="0"/>
              <wp:positionH relativeFrom="insideMargin">
                <wp:posOffset>-6280150</wp:posOffset>
              </wp:positionH>
              <wp:positionV relativeFrom="paragraph">
                <wp:posOffset>-10780395</wp:posOffset>
              </wp:positionV>
              <wp:extent cx="0" cy="11567160"/>
              <wp:effectExtent l="0" t="0" r="19050" b="15240"/>
              <wp:wrapNone/>
              <wp:docPr id="6" name="Straight Connector 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11567160"/>
                      </a:xfrm>
                      <a:prstGeom prst="line">
                        <a:avLst/>
                      </a:prstGeom>
                      <a:ln w="3810">
                        <a:solidFill>
                          <a:schemeClr val="tx1"/>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B80A1D"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outer-margin-area;mso-position-vertical:absolute;mso-position-vertical-relative:text;mso-width-percent:0;mso-height-percent:0;mso-width-relative:margin;mso-height-relative:margin" from="-494.5pt,-848.85pt" to="-494.5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" o:allowincell="f" strokecolor="black [3213]" strokeweight=".3pt">
              <o:lock v:ext="edit" aspectratio="t" shapetype="f"/>
              <w10:wrap anchorx="margin"/>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158AC" w14:textId="77777777" w:rsidR="0076026C" w:rsidRDefault="005E6DD1">
    <w:pPr>
      <w:pStyle w:val="Footer"/>
    </w:pPr>
    <w:r>
      <w:rPr>
        <w:noProof/>
        <w:lang w:val="en-US"/>
      </w:rPr>
      <mc:AlternateContent>
        <mc:Choice Requires="wps">
          <w:drawing>
            <wp:anchor distT="45720" distB="45720" distL="114300" distR="114300" simplePos="0" relativeHeight="251677696" behindDoc="0" locked="0" layoutInCell="1" allowOverlap="1" wp14:anchorId="5A2945A8" wp14:editId="7C62171E">
              <wp:simplePos x="0" y="0"/>
              <wp:positionH relativeFrom="column">
                <wp:posOffset>15240</wp:posOffset>
              </wp:positionH>
              <wp:positionV relativeFrom="paragraph">
                <wp:posOffset>-538480</wp:posOffset>
              </wp:positionV>
              <wp:extent cx="220980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404620"/>
                      </a:xfrm>
                      <a:prstGeom prst="rect">
                        <a:avLst/>
                      </a:prstGeom>
                      <a:solidFill>
                        <a:srgbClr val="FFFFFF"/>
                      </a:solidFill>
                      <a:ln w="9525">
                        <a:noFill/>
                        <a:miter lim="800000"/>
                        <a:headEnd/>
                        <a:tailEnd/>
                      </a:ln>
                    </wps:spPr>
                    <wps:txbx>
                      <w:txbxContent>
                        <w:p w14:paraId="12473564" w14:textId="77777777" w:rsidR="005E6DD1" w:rsidRPr="00614518" w:rsidRDefault="005E6DD1" w:rsidP="005E6DD1">
                          <w:pPr>
                            <w:spacing w:after="120"/>
                            <w:rPr>
                              <w:rFonts w:ascii="Bookman Old Style" w:hAnsi="Bookman Old Style" w:cs="Arial"/>
                              <w:sz w:val="20"/>
                            </w:rPr>
                          </w:pPr>
                          <w:r w:rsidRPr="00614518">
                            <w:rPr>
                              <w:rFonts w:ascii="Bookman Old Style" w:hAnsi="Bookman Old Style" w:cs="Arial"/>
                              <w:sz w:val="20"/>
                            </w:rPr>
                            <w:t>Número Identificador</w:t>
                          </w:r>
                        </w:p>
                        <w:p w14:paraId="50D80B7A" w14:textId="04D50A2D" w:rsidR="005E6DD1" w:rsidRPr="00614518" w:rsidRDefault="001700B7" w:rsidP="005E6DD1">
                          <w:pPr>
                            <w:spacing w:after="120"/>
                            <w:rPr>
                              <w:rFonts w:ascii="Bookman Old Style" w:hAnsi="Bookman Old Style" w:cs="Arial"/>
                              <w:sz w:val="20"/>
                              <w:lang w:val="en-US"/>
                            </w:rPr>
                          </w:pPr>
                          <w:r>
                            <w:rPr>
                              <w:rFonts w:ascii="Bookman Old Style" w:hAnsi="Bookman Old Style" w:cs="Arial"/>
                              <w:sz w:val="20"/>
                            </w:rPr>
                            <w:t>SEN</w:t>
                          </w:r>
                          <w:r w:rsidR="000C0241" w:rsidRPr="00614518">
                            <w:rPr>
                              <w:rFonts w:ascii="Bookman Old Style" w:hAnsi="Bookman Old Style" w:cs="Arial"/>
                              <w:sz w:val="20"/>
                            </w:rPr>
                            <w:t>20</w:t>
                          </w:r>
                          <w:r w:rsidR="00C36B96" w:rsidRPr="00614518">
                            <w:rPr>
                              <w:rFonts w:ascii="Bookman Old Style" w:hAnsi="Bookman Old Style" w:cs="Arial"/>
                              <w:sz w:val="20"/>
                            </w:rPr>
                            <w:t>2</w:t>
                          </w:r>
                          <w:r w:rsidR="008C6FB7">
                            <w:rPr>
                              <w:rFonts w:ascii="Bookman Old Style" w:hAnsi="Bookman Old Style" w:cs="Arial"/>
                              <w:sz w:val="20"/>
                            </w:rPr>
                            <w:t>5</w:t>
                          </w:r>
                          <w:r w:rsidR="005E6DD1" w:rsidRPr="00614518">
                            <w:rPr>
                              <w:rFonts w:ascii="Bookman Old Style" w:hAnsi="Bookman Old Style" w:cs="Arial"/>
                              <w:sz w:val="20"/>
                            </w:rPr>
                            <w:t xml:space="preserve"> 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2945A8" id="_x0000_t202" coordsize="21600,21600" o:spt="202" path="m,l,21600r21600,l21600,xe">
              <v:stroke joinstyle="miter"/>
              <v:path gradientshapeok="t" o:connecttype="rect"/>
            </v:shapetype>
            <v:shape id="Text Box 2" o:spid="_x0000_s1026" type="#_x0000_t202" style="position:absolute;margin-left:1.2pt;margin-top:-42.4pt;width:174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" stroked="f">
              <v:textbox style="mso-fit-shape-to-text:t">
                <w:txbxContent>
                  <w:p w14:paraId="12473564" w14:textId="77777777" w:rsidR="005E6DD1" w:rsidRPr="00614518" w:rsidRDefault="005E6DD1" w:rsidP="005E6DD1">
                    <w:pPr>
                      <w:spacing w:after="120"/>
                      <w:rPr>
                        <w:rFonts w:ascii="Bookman Old Style" w:hAnsi="Bookman Old Style" w:cs="Arial"/>
                        <w:sz w:val="20"/>
                      </w:rPr>
                    </w:pPr>
                    <w:r w:rsidRPr="00614518">
                      <w:rPr>
                        <w:rFonts w:ascii="Bookman Old Style" w:hAnsi="Bookman Old Style" w:cs="Arial"/>
                        <w:sz w:val="20"/>
                      </w:rPr>
                      <w:t>Número Identificador</w:t>
                    </w:r>
                  </w:p>
                  <w:p w14:paraId="50D80B7A" w14:textId="04D50A2D" w:rsidR="005E6DD1" w:rsidRPr="00614518" w:rsidRDefault="001700B7" w:rsidP="005E6DD1">
                    <w:pPr>
                      <w:spacing w:after="120"/>
                      <w:rPr>
                        <w:rFonts w:ascii="Bookman Old Style" w:hAnsi="Bookman Old Style" w:cs="Arial"/>
                        <w:sz w:val="20"/>
                        <w:lang w:val="en-US"/>
                      </w:rPr>
                    </w:pPr>
                    <w:r>
                      <w:rPr>
                        <w:rFonts w:ascii="Bookman Old Style" w:hAnsi="Bookman Old Style" w:cs="Arial"/>
                        <w:sz w:val="20"/>
                      </w:rPr>
                      <w:t>SEN</w:t>
                    </w:r>
                    <w:r w:rsidR="000C0241" w:rsidRPr="00614518">
                      <w:rPr>
                        <w:rFonts w:ascii="Bookman Old Style" w:hAnsi="Bookman Old Style" w:cs="Arial"/>
                        <w:sz w:val="20"/>
                      </w:rPr>
                      <w:t>20</w:t>
                    </w:r>
                    <w:r w:rsidR="00C36B96" w:rsidRPr="00614518">
                      <w:rPr>
                        <w:rFonts w:ascii="Bookman Old Style" w:hAnsi="Bookman Old Style" w:cs="Arial"/>
                        <w:sz w:val="20"/>
                      </w:rPr>
                      <w:t>2</w:t>
                    </w:r>
                    <w:r w:rsidR="008C6FB7">
                      <w:rPr>
                        <w:rFonts w:ascii="Bookman Old Style" w:hAnsi="Bookman Old Style" w:cs="Arial"/>
                        <w:sz w:val="20"/>
                      </w:rPr>
                      <w:t>5</w:t>
                    </w:r>
                    <w:r w:rsidR="005E6DD1" w:rsidRPr="00614518">
                      <w:rPr>
                        <w:rFonts w:ascii="Bookman Old Style" w:hAnsi="Bookman Old Style" w:cs="Arial"/>
                        <w:sz w:val="20"/>
                      </w:rPr>
                      <w:t xml:space="preserve"> _______________</w:t>
                    </w:r>
                  </w:p>
                </w:txbxContent>
              </v:textbox>
              <w10:wrap type="square"/>
            </v:shape>
          </w:pict>
        </mc:Fallback>
      </mc:AlternateContent>
    </w:r>
    <w:r w:rsidR="005B4DF9">
      <w:rPr>
        <w:rFonts w:ascii="Bookman Old Style" w:hAnsi="Bookman Old Style" w:cs="Arial"/>
        <w:noProof/>
        <w:lang w:val="en-US"/>
      </w:rPr>
      <mc:AlternateContent>
        <mc:Choice Requires="wps">
          <w:drawing>
            <wp:anchor distT="0" distB="0" distL="114300" distR="114300" simplePos="0" relativeHeight="251667456" behindDoc="0" locked="1" layoutInCell="0" allowOverlap="1" wp14:anchorId="5A1DD8FA" wp14:editId="4619CB0F">
              <wp:simplePos x="0" y="0"/>
              <wp:positionH relativeFrom="insideMargin">
                <wp:posOffset>673100</wp:posOffset>
              </wp:positionH>
              <wp:positionV relativeFrom="paragraph">
                <wp:posOffset>-12576175</wp:posOffset>
              </wp:positionV>
              <wp:extent cx="0" cy="12810490"/>
              <wp:effectExtent l="0" t="0" r="19050" b="10160"/>
              <wp:wrapNone/>
              <wp:docPr id="4" name="Straight Connector 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12810490"/>
                      </a:xfrm>
                      <a:prstGeom prst="line">
                        <a:avLst/>
                      </a:prstGeom>
                      <a:ln w="3810">
                        <a:solidFill>
                          <a:schemeClr val="tx1"/>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B2C86B"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outer-margin-area;mso-position-vertical:absolute;mso-position-vertical-relative:text;mso-width-percent:0;mso-height-percent:0;mso-width-relative:margin;mso-height-relative:margin" from="53pt,-990.25pt" to="53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" o:allowincell="f" strokecolor="black [3213]" strokeweight=".3pt">
              <o:lock v:ext="edit" aspectratio="t" shapetype="f"/>
              <w10:wrap anchorx="margin"/>
              <w10:anchorlock/>
            </v:line>
          </w:pict>
        </mc:Fallback>
      </mc:AlternateContent>
    </w:r>
    <w:r w:rsidR="0076026C">
      <w:rPr>
        <w:rFonts w:ascii="Bookman Old Style" w:hAnsi="Bookman Old Style" w:cs="Arial"/>
        <w:noProof/>
        <w:lang w:val="en-US"/>
      </w:rPr>
      <mc:AlternateContent>
        <mc:Choice Requires="wps">
          <w:drawing>
            <wp:anchor distT="0" distB="0" distL="114300" distR="114300" simplePos="0" relativeHeight="251661312" behindDoc="0" locked="1" layoutInCell="0" allowOverlap="1" wp14:anchorId="668FC8ED" wp14:editId="351C1B11">
              <wp:simplePos x="0" y="0"/>
              <wp:positionH relativeFrom="insideMargin">
                <wp:posOffset>715010</wp:posOffset>
              </wp:positionH>
              <wp:positionV relativeFrom="paragraph">
                <wp:posOffset>-12576175</wp:posOffset>
              </wp:positionV>
              <wp:extent cx="0" cy="12813030"/>
              <wp:effectExtent l="0" t="0" r="19050" b="26670"/>
              <wp:wrapNone/>
              <wp:docPr id="1" name="Straight Connector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12813030"/>
                      </a:xfrm>
                      <a:prstGeom prst="line">
                        <a:avLst/>
                      </a:prstGeom>
                      <a:ln w="3810">
                        <a:solidFill>
                          <a:schemeClr val="tx1"/>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950BB8"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outer-margin-area;mso-position-vertical:absolute;mso-position-vertical-relative:text;mso-width-percent:0;mso-height-percent:0;mso-width-relative:margin;mso-height-relative:margin" from="56.3pt,-990.25pt" to="56.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" o:allowincell="f" strokecolor="black [3213]" strokeweight=".3pt">
              <o:lock v:ext="edit" aspectratio="t" shapetype="f"/>
              <w10:wrap anchorx="margin"/>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07893" w14:textId="77777777" w:rsidR="00CA0B98" w:rsidRDefault="00CA0B98">
      <w:r>
        <w:separator/>
      </w:r>
    </w:p>
  </w:footnote>
  <w:footnote w:type="continuationSeparator" w:id="0">
    <w:p w14:paraId="4F0DCF0E" w14:textId="77777777" w:rsidR="00CA0B98" w:rsidRDefault="00CA0B98">
      <w:r>
        <w:continuationSeparator/>
      </w:r>
    </w:p>
  </w:footnote>
  <w:footnote w:id="1">
    <w:p w14:paraId="2D75E5F2" w14:textId="5BB81A7E" w:rsidR="002A0598" w:rsidRPr="00BF595A" w:rsidRDefault="002A0598">
      <w:pPr>
        <w:pStyle w:val="FootnoteText"/>
        <w:rPr>
          <w:rFonts w:ascii="Bookman Old Style" w:hAnsi="Bookman Old Style"/>
        </w:rPr>
      </w:pPr>
      <w:r w:rsidRPr="00BF595A">
        <w:rPr>
          <w:rStyle w:val="FootnoteReference"/>
          <w:rFonts w:ascii="Bookman Old Style" w:hAnsi="Bookman Old Style"/>
        </w:rPr>
        <w:footnoteRef/>
      </w:r>
      <w:r w:rsidRPr="00BF595A">
        <w:rPr>
          <w:rFonts w:ascii="Bookman Old Style" w:hAnsi="Bookman Old Style"/>
        </w:rPr>
        <w:t xml:space="preserve"> Apéndice del </w:t>
      </w:r>
      <w:r w:rsidR="00B83A0B" w:rsidRPr="00BF595A">
        <w:rPr>
          <w:rFonts w:ascii="Bookman Old Style" w:hAnsi="Bookman Old Style"/>
        </w:rPr>
        <w:t>r</w:t>
      </w:r>
      <w:r w:rsidRPr="00BF595A">
        <w:rPr>
          <w:rFonts w:ascii="Bookman Old Style" w:hAnsi="Bookman Old Style"/>
        </w:rPr>
        <w:t>ecurso, págs. 2-4.</w:t>
      </w:r>
    </w:p>
  </w:footnote>
  <w:footnote w:id="2">
    <w:p w14:paraId="358F6D26" w14:textId="7D883829" w:rsidR="002E336E" w:rsidRPr="00767422" w:rsidRDefault="002E336E">
      <w:pPr>
        <w:pStyle w:val="FootnoteText"/>
        <w:rPr>
          <w:rFonts w:ascii="Bookman Old Style" w:hAnsi="Bookman Old Style"/>
        </w:rPr>
      </w:pPr>
      <w:r w:rsidRPr="00BF595A">
        <w:rPr>
          <w:rStyle w:val="FootnoteReference"/>
          <w:rFonts w:ascii="Bookman Old Style" w:hAnsi="Bookman Old Style"/>
        </w:rPr>
        <w:footnoteRef/>
      </w:r>
      <w:r w:rsidRPr="00BF595A">
        <w:rPr>
          <w:rFonts w:ascii="Bookman Old Style" w:hAnsi="Bookman Old Style"/>
        </w:rPr>
        <w:t xml:space="preserve"> </w:t>
      </w:r>
      <w:r w:rsidR="00767422" w:rsidRPr="00BF595A">
        <w:rPr>
          <w:rFonts w:ascii="Bookman Old Style" w:hAnsi="Bookman Old Style"/>
          <w:i/>
          <w:iCs/>
        </w:rPr>
        <w:t>Íd.</w:t>
      </w:r>
      <w:r w:rsidR="00767422" w:rsidRPr="00BF595A">
        <w:rPr>
          <w:rFonts w:ascii="Bookman Old Style" w:hAnsi="Bookman Old Style"/>
        </w:rPr>
        <w:t xml:space="preserve"> págs. 5-7.</w:t>
      </w:r>
    </w:p>
  </w:footnote>
  <w:footnote w:id="3">
    <w:p w14:paraId="0B42CA90" w14:textId="07873A1A" w:rsidR="002C34D6" w:rsidRPr="00A2526E" w:rsidRDefault="002C34D6" w:rsidP="00E5116A">
      <w:pPr>
        <w:pStyle w:val="FootnoteText"/>
        <w:jc w:val="both"/>
        <w:rPr>
          <w:rFonts w:ascii="Bookman Old Style" w:hAnsi="Bookman Old Style"/>
        </w:rPr>
      </w:pPr>
      <w:r w:rsidRPr="00A2526E">
        <w:rPr>
          <w:rStyle w:val="FootnoteReference"/>
          <w:rFonts w:ascii="Bookman Old Style" w:hAnsi="Bookman Old Style"/>
        </w:rPr>
        <w:footnoteRef/>
      </w:r>
      <w:r w:rsidRPr="00A2526E">
        <w:rPr>
          <w:rFonts w:ascii="Bookman Old Style" w:hAnsi="Bookman Old Style"/>
        </w:rPr>
        <w:t xml:space="preserve"> Apéndice del recurso, págs. 8-</w:t>
      </w:r>
      <w:r w:rsidR="007C2A4A" w:rsidRPr="00A2526E">
        <w:rPr>
          <w:rFonts w:ascii="Bookman Old Style" w:hAnsi="Bookman Old Style"/>
        </w:rPr>
        <w:t>9</w:t>
      </w:r>
      <w:r w:rsidRPr="00A2526E">
        <w:rPr>
          <w:rFonts w:ascii="Bookman Old Style" w:hAnsi="Bookman Old Style"/>
        </w:rPr>
        <w:t>.</w:t>
      </w:r>
    </w:p>
  </w:footnote>
  <w:footnote w:id="4">
    <w:p w14:paraId="1F322C5E" w14:textId="14457AB9" w:rsidR="006633BE" w:rsidRPr="00BF595A" w:rsidRDefault="006633BE" w:rsidP="00E5116A">
      <w:pPr>
        <w:pStyle w:val="FootnoteText"/>
        <w:jc w:val="both"/>
        <w:rPr>
          <w:rFonts w:ascii="Bookman Old Style" w:hAnsi="Bookman Old Style"/>
        </w:rPr>
      </w:pPr>
      <w:r w:rsidRPr="00BF595A">
        <w:rPr>
          <w:rStyle w:val="FootnoteReference"/>
          <w:rFonts w:ascii="Bookman Old Style" w:hAnsi="Bookman Old Style"/>
        </w:rPr>
        <w:footnoteRef/>
      </w:r>
      <w:r w:rsidRPr="00BF595A">
        <w:rPr>
          <w:rFonts w:ascii="Bookman Old Style" w:hAnsi="Bookman Old Style"/>
        </w:rPr>
        <w:t xml:space="preserve"> Tomamos conocimiento judicial de la Entrada Núm. 14, en el </w:t>
      </w:r>
      <w:r w:rsidR="00FE5D44" w:rsidRPr="00BF595A">
        <w:rPr>
          <w:rFonts w:ascii="Bookman Old Style" w:hAnsi="Bookman Old Style"/>
        </w:rPr>
        <w:t>caso PO2022CV1765</w:t>
      </w:r>
      <w:r w:rsidR="00285B1A" w:rsidRPr="00BF595A">
        <w:rPr>
          <w:rFonts w:ascii="Bookman Old Style" w:hAnsi="Bookman Old Style"/>
        </w:rPr>
        <w:t xml:space="preserve"> en el Sistema Unificado de Manejo y Administración </w:t>
      </w:r>
      <w:r w:rsidR="004B1A29" w:rsidRPr="00BF595A">
        <w:rPr>
          <w:rFonts w:ascii="Bookman Old Style" w:hAnsi="Bookman Old Style"/>
        </w:rPr>
        <w:t xml:space="preserve">del </w:t>
      </w:r>
      <w:r w:rsidR="005E256D" w:rsidRPr="00BF595A">
        <w:rPr>
          <w:rFonts w:ascii="Bookman Old Style" w:hAnsi="Bookman Old Style"/>
        </w:rPr>
        <w:t>Caso (</w:t>
      </w:r>
      <w:r w:rsidR="00DC3DF5" w:rsidRPr="00BF595A">
        <w:rPr>
          <w:rFonts w:ascii="Bookman Old Style" w:hAnsi="Bookman Old Style"/>
        </w:rPr>
        <w:t>SUMAC)</w:t>
      </w:r>
      <w:r w:rsidR="00523D97" w:rsidRPr="00BF595A">
        <w:rPr>
          <w:rFonts w:ascii="Bookman Old Style" w:hAnsi="Bookman Old Style"/>
        </w:rPr>
        <w:t>.</w:t>
      </w:r>
    </w:p>
  </w:footnote>
  <w:footnote w:id="5">
    <w:p w14:paraId="745EE660" w14:textId="582752D5" w:rsidR="00DF4A19" w:rsidRPr="00BF595A" w:rsidRDefault="00DF4A19" w:rsidP="00E5116A">
      <w:pPr>
        <w:pStyle w:val="FootnoteText"/>
        <w:jc w:val="both"/>
        <w:rPr>
          <w:rFonts w:ascii="Bookman Old Style" w:hAnsi="Bookman Old Style"/>
        </w:rPr>
      </w:pPr>
      <w:r w:rsidRPr="00BF595A">
        <w:rPr>
          <w:rStyle w:val="FootnoteReference"/>
          <w:rFonts w:ascii="Bookman Old Style" w:hAnsi="Bookman Old Style"/>
        </w:rPr>
        <w:footnoteRef/>
      </w:r>
      <w:r w:rsidRPr="00BF595A">
        <w:rPr>
          <w:rFonts w:ascii="Bookman Old Style" w:hAnsi="Bookman Old Style"/>
        </w:rPr>
        <w:t xml:space="preserve"> </w:t>
      </w:r>
      <w:r w:rsidR="007D6B79" w:rsidRPr="00BF595A">
        <w:rPr>
          <w:rFonts w:ascii="Bookman Old Style" w:hAnsi="Bookman Old Style"/>
          <w:i/>
          <w:iCs/>
        </w:rPr>
        <w:t>Íd.</w:t>
      </w:r>
      <w:r w:rsidR="00303F7E" w:rsidRPr="00BF595A">
        <w:rPr>
          <w:rFonts w:ascii="Bookman Old Style" w:hAnsi="Bookman Old Style"/>
          <w:i/>
          <w:iCs/>
        </w:rPr>
        <w:t>,</w:t>
      </w:r>
      <w:r w:rsidR="007D6B79" w:rsidRPr="00BF595A">
        <w:rPr>
          <w:rFonts w:ascii="Bookman Old Style" w:hAnsi="Bookman Old Style"/>
        </w:rPr>
        <w:t xml:space="preserve"> </w:t>
      </w:r>
      <w:r w:rsidR="005E256D" w:rsidRPr="00BF595A">
        <w:rPr>
          <w:rFonts w:ascii="Bookman Old Style" w:hAnsi="Bookman Old Style"/>
        </w:rPr>
        <w:t xml:space="preserve">págs. </w:t>
      </w:r>
      <w:r w:rsidR="00C940A3" w:rsidRPr="00BF595A">
        <w:rPr>
          <w:rFonts w:ascii="Bookman Old Style" w:hAnsi="Bookman Old Style"/>
        </w:rPr>
        <w:t>10-11</w:t>
      </w:r>
      <w:r w:rsidR="005E256D" w:rsidRPr="00BF595A">
        <w:rPr>
          <w:rFonts w:ascii="Bookman Old Style" w:hAnsi="Bookman Old Style"/>
        </w:rPr>
        <w:t>.</w:t>
      </w:r>
    </w:p>
  </w:footnote>
  <w:footnote w:id="6">
    <w:p w14:paraId="39F141BC" w14:textId="082F226A" w:rsidR="00845771" w:rsidRPr="00BF595A" w:rsidRDefault="00845771" w:rsidP="00E5116A">
      <w:pPr>
        <w:pStyle w:val="FootnoteText"/>
        <w:jc w:val="both"/>
        <w:rPr>
          <w:rFonts w:ascii="Bookman Old Style" w:hAnsi="Bookman Old Style"/>
        </w:rPr>
      </w:pPr>
      <w:r w:rsidRPr="00BF595A">
        <w:rPr>
          <w:rStyle w:val="FootnoteReference"/>
          <w:rFonts w:ascii="Bookman Old Style" w:hAnsi="Bookman Old Style"/>
        </w:rPr>
        <w:footnoteRef/>
      </w:r>
      <w:r w:rsidRPr="00BF595A">
        <w:rPr>
          <w:rFonts w:ascii="Bookman Old Style" w:hAnsi="Bookman Old Style"/>
        </w:rPr>
        <w:t xml:space="preserve"> </w:t>
      </w:r>
      <w:r w:rsidR="00303F7E" w:rsidRPr="00BF595A">
        <w:rPr>
          <w:rFonts w:ascii="Bookman Old Style" w:hAnsi="Bookman Old Style"/>
          <w:i/>
          <w:iCs/>
        </w:rPr>
        <w:t>Íd</w:t>
      </w:r>
      <w:r w:rsidR="00303F7E" w:rsidRPr="00BF595A">
        <w:rPr>
          <w:rFonts w:ascii="Bookman Old Style" w:hAnsi="Bookman Old Style"/>
        </w:rPr>
        <w:t>.</w:t>
      </w:r>
      <w:r w:rsidR="00A46CB0" w:rsidRPr="00BF595A">
        <w:rPr>
          <w:rFonts w:ascii="Bookman Old Style" w:hAnsi="Bookman Old Style"/>
        </w:rPr>
        <w:t xml:space="preserve">, págs. </w:t>
      </w:r>
      <w:r w:rsidR="0077636C" w:rsidRPr="00BF595A">
        <w:rPr>
          <w:rFonts w:ascii="Bookman Old Style" w:hAnsi="Bookman Old Style"/>
        </w:rPr>
        <w:t>12-14.</w:t>
      </w:r>
    </w:p>
  </w:footnote>
  <w:footnote w:id="7">
    <w:p w14:paraId="343674B4" w14:textId="78F98964" w:rsidR="00A46CB0" w:rsidRPr="00BF595A" w:rsidRDefault="00A46CB0" w:rsidP="00E5116A">
      <w:pPr>
        <w:pStyle w:val="FootnoteText"/>
        <w:jc w:val="both"/>
        <w:rPr>
          <w:rFonts w:ascii="Bookman Old Style" w:hAnsi="Bookman Old Style"/>
        </w:rPr>
      </w:pPr>
      <w:r w:rsidRPr="00BF595A">
        <w:rPr>
          <w:rStyle w:val="FootnoteReference"/>
          <w:rFonts w:ascii="Bookman Old Style" w:hAnsi="Bookman Old Style"/>
        </w:rPr>
        <w:footnoteRef/>
      </w:r>
      <w:r w:rsidRPr="00BF595A">
        <w:rPr>
          <w:rFonts w:ascii="Bookman Old Style" w:hAnsi="Bookman Old Style"/>
        </w:rPr>
        <w:t xml:space="preserve"> </w:t>
      </w:r>
      <w:r w:rsidR="0077636C" w:rsidRPr="00BF595A">
        <w:rPr>
          <w:rFonts w:ascii="Bookman Old Style" w:hAnsi="Bookman Old Style"/>
          <w:i/>
          <w:iCs/>
        </w:rPr>
        <w:t>Íd.</w:t>
      </w:r>
      <w:r w:rsidR="006D0E0B" w:rsidRPr="00BF595A">
        <w:rPr>
          <w:rFonts w:ascii="Bookman Old Style" w:hAnsi="Bookman Old Style"/>
          <w:i/>
          <w:iCs/>
        </w:rPr>
        <w:t xml:space="preserve"> </w:t>
      </w:r>
      <w:r w:rsidR="006D0E0B" w:rsidRPr="00BF595A">
        <w:rPr>
          <w:rFonts w:ascii="Bookman Old Style" w:hAnsi="Bookman Old Style"/>
        </w:rPr>
        <w:t>págs.</w:t>
      </w:r>
      <w:r w:rsidR="0077636C" w:rsidRPr="00BF595A">
        <w:rPr>
          <w:rFonts w:ascii="Bookman Old Style" w:hAnsi="Bookman Old Style"/>
        </w:rPr>
        <w:t xml:space="preserve"> 15-</w:t>
      </w:r>
      <w:r w:rsidR="006D0E0B" w:rsidRPr="00BF595A">
        <w:rPr>
          <w:rFonts w:ascii="Bookman Old Style" w:hAnsi="Bookman Old Style"/>
        </w:rPr>
        <w:t xml:space="preserve">23. </w:t>
      </w:r>
      <w:bookmarkStart w:id="2" w:name="_Hlk197327476"/>
      <w:r w:rsidR="00A2526E" w:rsidRPr="00BF595A">
        <w:rPr>
          <w:rFonts w:ascii="Bookman Old Style" w:hAnsi="Bookman Old Style"/>
        </w:rPr>
        <w:t>Junto a este escrito</w:t>
      </w:r>
      <w:r w:rsidR="00A2526E" w:rsidRPr="00BF595A">
        <w:t xml:space="preserve"> </w:t>
      </w:r>
      <w:r w:rsidR="00A2526E" w:rsidRPr="00BF595A">
        <w:rPr>
          <w:rFonts w:ascii="Bookman Old Style" w:hAnsi="Bookman Old Style" w:cs="Arial"/>
        </w:rPr>
        <w:t xml:space="preserve">el Consejo de Titulares y la Junta de Titulares del </w:t>
      </w:r>
      <w:r w:rsidR="00A2526E" w:rsidRPr="00BF595A">
        <w:rPr>
          <w:rFonts w:ascii="Bookman Old Style" w:hAnsi="Bookman Old Style" w:cs="Arial"/>
          <w:lang w:val="es-MX"/>
        </w:rPr>
        <w:t>Condominio Caribe Golf Villas</w:t>
      </w:r>
      <w:bookmarkEnd w:id="2"/>
      <w:r w:rsidR="00A002F7" w:rsidRPr="00BF595A">
        <w:rPr>
          <w:rFonts w:ascii="Bookman Old Style" w:hAnsi="Bookman Old Style" w:cs="Arial"/>
          <w:lang w:val="es-MX"/>
        </w:rPr>
        <w:t xml:space="preserve"> presentaron los siguientes documentos: (1)</w:t>
      </w:r>
      <w:r w:rsidR="0098487B" w:rsidRPr="00BF595A">
        <w:rPr>
          <w:rFonts w:ascii="Bookman Old Style" w:hAnsi="Bookman Old Style" w:cs="Arial"/>
          <w:lang w:val="es-MX"/>
        </w:rPr>
        <w:t xml:space="preserve"> </w:t>
      </w:r>
      <w:proofErr w:type="spellStart"/>
      <w:r w:rsidR="00CC724D" w:rsidRPr="00BF595A">
        <w:rPr>
          <w:rFonts w:ascii="Bookman Old Style" w:hAnsi="Bookman Old Style" w:cs="Arial"/>
        </w:rPr>
        <w:t>Constitu</w:t>
      </w:r>
      <w:r w:rsidR="00303F7E" w:rsidRPr="00BF595A">
        <w:rPr>
          <w:rFonts w:ascii="Bookman Old Style" w:hAnsi="Bookman Old Style" w:cs="Arial"/>
        </w:rPr>
        <w:t>tio</w:t>
      </w:r>
      <w:r w:rsidR="00CC724D" w:rsidRPr="00BF595A">
        <w:rPr>
          <w:rFonts w:ascii="Bookman Old Style" w:hAnsi="Bookman Old Style" w:cs="Arial"/>
        </w:rPr>
        <w:t>n</w:t>
      </w:r>
      <w:proofErr w:type="spellEnd"/>
      <w:r w:rsidR="00CC724D" w:rsidRPr="00BF595A">
        <w:rPr>
          <w:rFonts w:ascii="Bookman Old Style" w:hAnsi="Bookman Old Style" w:cs="Arial"/>
        </w:rPr>
        <w:t xml:space="preserve"> </w:t>
      </w:r>
      <w:r w:rsidR="00BB7632" w:rsidRPr="00BF595A">
        <w:rPr>
          <w:rFonts w:ascii="Bookman Old Style" w:hAnsi="Bookman Old Style" w:cs="Arial"/>
        </w:rPr>
        <w:t xml:space="preserve">of Horizontal </w:t>
      </w:r>
      <w:proofErr w:type="spellStart"/>
      <w:r w:rsidR="00BB7632" w:rsidRPr="00BF595A">
        <w:rPr>
          <w:rFonts w:ascii="Bookman Old Style" w:hAnsi="Bookman Old Style" w:cs="Arial"/>
        </w:rPr>
        <w:t>Property</w:t>
      </w:r>
      <w:proofErr w:type="spellEnd"/>
      <w:r w:rsidR="00BB7632" w:rsidRPr="00BF595A">
        <w:rPr>
          <w:rFonts w:ascii="Bookman Old Style" w:hAnsi="Bookman Old Style" w:cs="Arial"/>
        </w:rPr>
        <w:t xml:space="preserve"> </w:t>
      </w:r>
      <w:proofErr w:type="spellStart"/>
      <w:r w:rsidR="00BB7632" w:rsidRPr="00BF595A">
        <w:rPr>
          <w:rFonts w:ascii="Bookman Old Style" w:hAnsi="Bookman Old Style" w:cs="Arial"/>
        </w:rPr>
        <w:t>Regime</w:t>
      </w:r>
      <w:proofErr w:type="spellEnd"/>
      <w:r w:rsidR="00BB7632" w:rsidRPr="00BF595A">
        <w:rPr>
          <w:rFonts w:ascii="Bookman Old Style" w:hAnsi="Bookman Old Style" w:cs="Arial"/>
        </w:rPr>
        <w:t xml:space="preserve"> Golf Villas </w:t>
      </w:r>
      <w:proofErr w:type="spellStart"/>
      <w:r w:rsidR="00BB7632" w:rsidRPr="00BF595A">
        <w:rPr>
          <w:rFonts w:ascii="Bookman Old Style" w:hAnsi="Bookman Old Style" w:cs="Arial"/>
        </w:rPr>
        <w:t>Condominium</w:t>
      </w:r>
      <w:proofErr w:type="spellEnd"/>
      <w:r w:rsidR="00BB7632" w:rsidRPr="00BF595A">
        <w:rPr>
          <w:rFonts w:ascii="Bookman Old Style" w:hAnsi="Bookman Old Style" w:cs="Arial"/>
        </w:rPr>
        <w:t xml:space="preserve">, con fecha del </w:t>
      </w:r>
      <w:r w:rsidR="006741D9" w:rsidRPr="00BF595A">
        <w:rPr>
          <w:rFonts w:ascii="Bookman Old Style" w:hAnsi="Bookman Old Style" w:cs="Arial"/>
        </w:rPr>
        <w:t xml:space="preserve">19 de octubre de 2004; (2) </w:t>
      </w:r>
      <w:r w:rsidR="004B2B3C" w:rsidRPr="00BF595A">
        <w:rPr>
          <w:rFonts w:ascii="Bookman Old Style" w:hAnsi="Bookman Old Style" w:cs="Arial"/>
        </w:rPr>
        <w:t xml:space="preserve">Convocatoria </w:t>
      </w:r>
      <w:r w:rsidR="003554B2" w:rsidRPr="00BF595A">
        <w:rPr>
          <w:rFonts w:ascii="Bookman Old Style" w:hAnsi="Bookman Old Style" w:cs="Arial"/>
        </w:rPr>
        <w:t xml:space="preserve">para </w:t>
      </w:r>
      <w:r w:rsidR="008776C8" w:rsidRPr="00BF595A">
        <w:rPr>
          <w:rFonts w:ascii="Bookman Old Style" w:hAnsi="Bookman Old Style" w:cs="Arial"/>
        </w:rPr>
        <w:t xml:space="preserve">la </w:t>
      </w:r>
      <w:r w:rsidR="003554B2" w:rsidRPr="00BF595A">
        <w:rPr>
          <w:rFonts w:ascii="Bookman Old Style" w:hAnsi="Bookman Old Style" w:cs="Arial"/>
        </w:rPr>
        <w:t xml:space="preserve">Asamblea Anual Ordinaria del Consejo de Titulares, con fecha del </w:t>
      </w:r>
      <w:r w:rsidR="001A32D8" w:rsidRPr="00BF595A">
        <w:rPr>
          <w:rFonts w:ascii="Bookman Old Style" w:hAnsi="Bookman Old Style" w:cs="Arial"/>
        </w:rPr>
        <w:t>23 de julio de 201</w:t>
      </w:r>
      <w:r w:rsidR="002A0888" w:rsidRPr="00BF595A">
        <w:rPr>
          <w:rFonts w:ascii="Bookman Old Style" w:hAnsi="Bookman Old Style" w:cs="Arial"/>
        </w:rPr>
        <w:t>5</w:t>
      </w:r>
      <w:r w:rsidR="001A32D8" w:rsidRPr="00BF595A">
        <w:rPr>
          <w:rFonts w:ascii="Bookman Old Style" w:hAnsi="Bookman Old Style" w:cs="Arial"/>
        </w:rPr>
        <w:t xml:space="preserve">; (3) Declaración Jurada </w:t>
      </w:r>
      <w:r w:rsidR="008776C8" w:rsidRPr="00BF595A">
        <w:rPr>
          <w:rFonts w:ascii="Bookman Old Style" w:hAnsi="Bookman Old Style" w:cs="Arial"/>
        </w:rPr>
        <w:t xml:space="preserve">de Belén María Hernández Méndez , con fecha del </w:t>
      </w:r>
      <w:r w:rsidR="006F2E35" w:rsidRPr="00BF595A">
        <w:rPr>
          <w:rFonts w:ascii="Bookman Old Style" w:hAnsi="Bookman Old Style" w:cs="Arial"/>
        </w:rPr>
        <w:t>28 de febrero de 2023; (4)</w:t>
      </w:r>
      <w:r w:rsidR="0098487B" w:rsidRPr="00BF595A">
        <w:rPr>
          <w:rFonts w:ascii="Bookman Old Style" w:hAnsi="Bookman Old Style" w:cs="Arial"/>
        </w:rPr>
        <w:t xml:space="preserve"> </w:t>
      </w:r>
      <w:proofErr w:type="spellStart"/>
      <w:r w:rsidR="006F2E35" w:rsidRPr="00BF595A">
        <w:rPr>
          <w:rFonts w:ascii="Bookman Old Style" w:hAnsi="Bookman Old Style" w:cs="Arial"/>
        </w:rPr>
        <w:t>By-Laws</w:t>
      </w:r>
      <w:proofErr w:type="spellEnd"/>
      <w:r w:rsidR="006F2E35" w:rsidRPr="00BF595A">
        <w:rPr>
          <w:rFonts w:ascii="Bookman Old Style" w:hAnsi="Bookman Old Style" w:cs="Arial"/>
        </w:rPr>
        <w:t xml:space="preserve"> of Golf Villas </w:t>
      </w:r>
      <w:proofErr w:type="spellStart"/>
      <w:r w:rsidR="006F2E35" w:rsidRPr="00BF595A">
        <w:rPr>
          <w:rFonts w:ascii="Bookman Old Style" w:hAnsi="Bookman Old Style" w:cs="Arial"/>
        </w:rPr>
        <w:t>Condominium</w:t>
      </w:r>
      <w:proofErr w:type="spellEnd"/>
      <w:r w:rsidR="00AA5216" w:rsidRPr="00BF595A">
        <w:rPr>
          <w:rFonts w:ascii="Bookman Old Style" w:hAnsi="Bookman Old Style" w:cs="Arial"/>
        </w:rPr>
        <w:t xml:space="preserve">, con fecha del </w:t>
      </w:r>
      <w:r w:rsidR="0098487B" w:rsidRPr="00BF595A">
        <w:rPr>
          <w:rFonts w:ascii="Bookman Old Style" w:hAnsi="Bookman Old Style" w:cs="Arial"/>
        </w:rPr>
        <w:t xml:space="preserve">17 de febrero de 2006; (5) </w:t>
      </w:r>
      <w:r w:rsidR="00544B64" w:rsidRPr="00BF595A">
        <w:rPr>
          <w:rFonts w:ascii="Bookman Old Style" w:hAnsi="Bookman Old Style" w:cs="Arial"/>
        </w:rPr>
        <w:t>Convocatoria de Asamblea Extraordinaria, con fecha del 10 de septiembre de 2021</w:t>
      </w:r>
      <w:r w:rsidR="002F7FCB" w:rsidRPr="00BF595A">
        <w:rPr>
          <w:rFonts w:ascii="Bookman Old Style" w:hAnsi="Bookman Old Style" w:cs="Arial"/>
        </w:rPr>
        <w:t>; (6)</w:t>
      </w:r>
      <w:r w:rsidR="00BC5704" w:rsidRPr="00BF595A">
        <w:rPr>
          <w:rFonts w:ascii="Bookman Old Style" w:hAnsi="Bookman Old Style" w:cs="Arial"/>
        </w:rPr>
        <w:t xml:space="preserve"> </w:t>
      </w:r>
      <w:r w:rsidR="00F67304" w:rsidRPr="00BF595A">
        <w:rPr>
          <w:rFonts w:ascii="Bookman Old Style" w:hAnsi="Bookman Old Style" w:cs="Arial"/>
        </w:rPr>
        <w:t>Acta Asamblea Extraordinaria</w:t>
      </w:r>
      <w:r w:rsidR="00FB2B2B" w:rsidRPr="00BF595A">
        <w:rPr>
          <w:rFonts w:ascii="Bookman Old Style" w:hAnsi="Bookman Old Style" w:cs="Arial"/>
        </w:rPr>
        <w:t>, con fecha del 17 de septiembre de 2021</w:t>
      </w:r>
      <w:r w:rsidR="005B1579" w:rsidRPr="00BF595A">
        <w:rPr>
          <w:rFonts w:ascii="Bookman Old Style" w:hAnsi="Bookman Old Style" w:cs="Arial"/>
        </w:rPr>
        <w:t xml:space="preserve">. </w:t>
      </w:r>
      <w:r w:rsidR="00BE00AB" w:rsidRPr="00BF595A">
        <w:rPr>
          <w:rFonts w:ascii="Bookman Old Style" w:hAnsi="Bookman Old Style" w:cs="Arial"/>
        </w:rPr>
        <w:t>Véase</w:t>
      </w:r>
      <w:r w:rsidR="005B1579" w:rsidRPr="00BF595A">
        <w:rPr>
          <w:rFonts w:ascii="Bookman Old Style" w:hAnsi="Bookman Old Style" w:cs="Arial"/>
        </w:rPr>
        <w:t xml:space="preserve">, págs. 24-104. </w:t>
      </w:r>
    </w:p>
  </w:footnote>
  <w:footnote w:id="8">
    <w:p w14:paraId="76ED17F9" w14:textId="746CDD21" w:rsidR="0087284C" w:rsidRPr="004A1D5C" w:rsidRDefault="0087284C" w:rsidP="00E5116A">
      <w:pPr>
        <w:pStyle w:val="FootnoteText"/>
        <w:jc w:val="both"/>
      </w:pPr>
      <w:r w:rsidRPr="00BF595A">
        <w:rPr>
          <w:rStyle w:val="FootnoteReference"/>
          <w:rFonts w:ascii="Bookman Old Style" w:hAnsi="Bookman Old Style"/>
        </w:rPr>
        <w:footnoteRef/>
      </w:r>
      <w:r w:rsidRPr="00BF595A">
        <w:rPr>
          <w:rFonts w:ascii="Bookman Old Style" w:hAnsi="Bookman Old Style"/>
        </w:rPr>
        <w:t xml:space="preserve"> </w:t>
      </w:r>
      <w:r w:rsidR="004A1D5C" w:rsidRPr="00BF595A">
        <w:rPr>
          <w:rFonts w:ascii="Bookman Old Style" w:hAnsi="Bookman Old Style"/>
          <w:i/>
          <w:iCs/>
        </w:rPr>
        <w:t xml:space="preserve">Íd. </w:t>
      </w:r>
      <w:r w:rsidR="004A1D5C" w:rsidRPr="00BF595A">
        <w:rPr>
          <w:rFonts w:ascii="Bookman Old Style" w:hAnsi="Bookman Old Style"/>
        </w:rPr>
        <w:t>págs.105-108.</w:t>
      </w:r>
    </w:p>
  </w:footnote>
  <w:footnote w:id="9">
    <w:p w14:paraId="19DA5FB5" w14:textId="3ED9E1AB" w:rsidR="00AE2766" w:rsidRPr="00E972D3" w:rsidRDefault="00AE2766" w:rsidP="003F3E9F">
      <w:pPr>
        <w:pStyle w:val="FootnoteText"/>
        <w:jc w:val="both"/>
        <w:rPr>
          <w:rFonts w:ascii="Bookman Old Style" w:hAnsi="Bookman Old Style"/>
        </w:rPr>
      </w:pPr>
      <w:r w:rsidRPr="00E972D3">
        <w:rPr>
          <w:rStyle w:val="FootnoteReference"/>
          <w:rFonts w:ascii="Bookman Old Style" w:hAnsi="Bookman Old Style"/>
        </w:rPr>
        <w:footnoteRef/>
      </w:r>
      <w:r w:rsidRPr="00E972D3">
        <w:rPr>
          <w:rFonts w:ascii="Bookman Old Style" w:hAnsi="Bookman Old Style"/>
        </w:rPr>
        <w:t xml:space="preserve"> </w:t>
      </w:r>
      <w:r w:rsidR="003F3E9F" w:rsidRPr="00E972D3">
        <w:rPr>
          <w:rFonts w:ascii="Bookman Old Style" w:hAnsi="Bookman Old Style"/>
        </w:rPr>
        <w:t>Apéndice del recurso, págs. 109</w:t>
      </w:r>
      <w:r w:rsidR="0055214E" w:rsidRPr="00E972D3">
        <w:rPr>
          <w:rFonts w:ascii="Bookman Old Style" w:hAnsi="Bookman Old Style"/>
        </w:rPr>
        <w:t xml:space="preserve">-113. </w:t>
      </w:r>
    </w:p>
  </w:footnote>
  <w:footnote w:id="10">
    <w:p w14:paraId="79BEBAFF" w14:textId="2C71EE9E" w:rsidR="006C6F17" w:rsidRPr="00E972D3" w:rsidRDefault="006C6F17">
      <w:pPr>
        <w:pStyle w:val="FootnoteText"/>
        <w:rPr>
          <w:rFonts w:ascii="Bookman Old Style" w:hAnsi="Bookman Old Style"/>
        </w:rPr>
      </w:pPr>
      <w:r w:rsidRPr="00E972D3">
        <w:rPr>
          <w:rStyle w:val="FootnoteReference"/>
          <w:rFonts w:ascii="Bookman Old Style" w:hAnsi="Bookman Old Style"/>
        </w:rPr>
        <w:footnoteRef/>
      </w:r>
      <w:r w:rsidRPr="00E972D3">
        <w:rPr>
          <w:rFonts w:ascii="Bookman Old Style" w:hAnsi="Bookman Old Style"/>
        </w:rPr>
        <w:t xml:space="preserve"> </w:t>
      </w:r>
      <w:r w:rsidR="00ED4A6F" w:rsidRPr="00E972D3">
        <w:rPr>
          <w:rFonts w:ascii="Bookman Old Style" w:hAnsi="Bookman Old Style"/>
          <w:i/>
          <w:iCs/>
        </w:rPr>
        <w:t>Íd</w:t>
      </w:r>
      <w:r w:rsidR="00ED4A6F" w:rsidRPr="00E972D3">
        <w:rPr>
          <w:rFonts w:ascii="Bookman Old Style" w:hAnsi="Bookman Old Style"/>
        </w:rPr>
        <w:t>. págs. 121</w:t>
      </w:r>
      <w:r w:rsidR="001E373D" w:rsidRPr="00E972D3">
        <w:rPr>
          <w:rFonts w:ascii="Bookman Old Style" w:hAnsi="Bookman Old Style"/>
        </w:rPr>
        <w:t>-126.</w:t>
      </w:r>
    </w:p>
  </w:footnote>
  <w:footnote w:id="11">
    <w:p w14:paraId="7A212B53" w14:textId="160C274A" w:rsidR="00AD5E74" w:rsidRPr="00E972D3" w:rsidRDefault="00AD5E74">
      <w:pPr>
        <w:pStyle w:val="FootnoteText"/>
        <w:rPr>
          <w:rFonts w:ascii="Bookman Old Style" w:hAnsi="Bookman Old Style"/>
        </w:rPr>
      </w:pPr>
      <w:r w:rsidRPr="00E972D3">
        <w:rPr>
          <w:rStyle w:val="FootnoteReference"/>
          <w:rFonts w:ascii="Bookman Old Style" w:hAnsi="Bookman Old Style"/>
        </w:rPr>
        <w:footnoteRef/>
      </w:r>
      <w:r w:rsidRPr="00E972D3">
        <w:rPr>
          <w:rFonts w:ascii="Bookman Old Style" w:hAnsi="Bookman Old Style"/>
        </w:rPr>
        <w:t xml:space="preserve"> </w:t>
      </w:r>
      <w:r w:rsidRPr="00E972D3">
        <w:rPr>
          <w:rFonts w:ascii="Bookman Old Style" w:hAnsi="Bookman Old Style"/>
          <w:i/>
          <w:iCs/>
        </w:rPr>
        <w:t>Íd</w:t>
      </w:r>
      <w:r w:rsidRPr="00E972D3">
        <w:rPr>
          <w:rFonts w:ascii="Bookman Old Style" w:hAnsi="Bookman Old Style"/>
        </w:rPr>
        <w:t>. pág. 1</w:t>
      </w:r>
      <w:r w:rsidR="00BA3325" w:rsidRPr="00E972D3">
        <w:rPr>
          <w:rFonts w:ascii="Bookman Old Style" w:hAnsi="Bookman Old Style"/>
        </w:rPr>
        <w:t>33.</w:t>
      </w:r>
    </w:p>
  </w:footnote>
  <w:footnote w:id="12">
    <w:p w14:paraId="02DEF2EE" w14:textId="15D47D46" w:rsidR="00846D7A" w:rsidRPr="00CA1866" w:rsidRDefault="00846D7A">
      <w:pPr>
        <w:pStyle w:val="FootnoteText"/>
        <w:rPr>
          <w:rFonts w:ascii="Bookman Old Style" w:hAnsi="Bookman Old Style"/>
        </w:rPr>
      </w:pPr>
      <w:r w:rsidRPr="00BF595A">
        <w:rPr>
          <w:rStyle w:val="FootnoteReference"/>
          <w:rFonts w:ascii="Bookman Old Style" w:hAnsi="Bookman Old Style"/>
        </w:rPr>
        <w:footnoteRef/>
      </w:r>
      <w:r w:rsidRPr="00BF595A">
        <w:rPr>
          <w:rFonts w:ascii="Bookman Old Style" w:hAnsi="Bookman Old Style"/>
        </w:rPr>
        <w:t xml:space="preserve"> </w:t>
      </w:r>
      <w:r w:rsidR="00CA1866" w:rsidRPr="00BF595A">
        <w:rPr>
          <w:rFonts w:ascii="Bookman Old Style" w:hAnsi="Bookman Old Style"/>
          <w:i/>
          <w:iCs/>
        </w:rPr>
        <w:t>Íd</w:t>
      </w:r>
      <w:r w:rsidR="00CA1866" w:rsidRPr="00BF595A">
        <w:rPr>
          <w:rFonts w:ascii="Bookman Old Style" w:hAnsi="Bookman Old Style"/>
        </w:rPr>
        <w:t>., págs. 134-144.</w:t>
      </w:r>
    </w:p>
  </w:footnote>
  <w:footnote w:id="13">
    <w:p w14:paraId="129F073B" w14:textId="15789972" w:rsidR="001C73E1" w:rsidRPr="001C73E1" w:rsidRDefault="001C73E1">
      <w:pPr>
        <w:pStyle w:val="FootnoteText"/>
        <w:rPr>
          <w:rFonts w:ascii="Bookman Old Style" w:hAnsi="Bookman Old Style"/>
        </w:rPr>
      </w:pPr>
      <w:r w:rsidRPr="00BF595A">
        <w:rPr>
          <w:rStyle w:val="FootnoteReference"/>
          <w:rFonts w:ascii="Bookman Old Style" w:hAnsi="Bookman Old Style"/>
        </w:rPr>
        <w:footnoteRef/>
      </w:r>
      <w:r w:rsidRPr="00BF595A">
        <w:rPr>
          <w:rFonts w:ascii="Bookman Old Style" w:hAnsi="Bookman Old Style"/>
        </w:rPr>
        <w:t xml:space="preserve"> Apéndice del recurso, págs. 145-178.</w:t>
      </w:r>
    </w:p>
  </w:footnote>
  <w:footnote w:id="14">
    <w:p w14:paraId="599B1D23" w14:textId="0EE8573E" w:rsidR="00914BF9" w:rsidRPr="00611C61" w:rsidRDefault="00914BF9">
      <w:pPr>
        <w:pStyle w:val="FootnoteText"/>
        <w:rPr>
          <w:rFonts w:ascii="Bookman Old Style" w:hAnsi="Bookman Old Style"/>
        </w:rPr>
      </w:pPr>
      <w:r w:rsidRPr="00914BF9">
        <w:rPr>
          <w:rStyle w:val="FootnoteReference"/>
          <w:rFonts w:ascii="Bookman Old Style" w:hAnsi="Bookman Old Style"/>
        </w:rPr>
        <w:footnoteRef/>
      </w:r>
      <w:r w:rsidRPr="00914BF9">
        <w:rPr>
          <w:rFonts w:ascii="Bookman Old Style" w:hAnsi="Bookman Old Style"/>
        </w:rPr>
        <w:t xml:space="preserve"> </w:t>
      </w:r>
      <w:r w:rsidRPr="00897787">
        <w:rPr>
          <w:rFonts w:ascii="Bookman Old Style" w:hAnsi="Bookman Old Style"/>
        </w:rPr>
        <w:t xml:space="preserve">Apéndice del recurso, págs. </w:t>
      </w:r>
      <w:r w:rsidR="00A778CB">
        <w:rPr>
          <w:rFonts w:ascii="Bookman Old Style" w:hAnsi="Bookman Old Style"/>
        </w:rPr>
        <w:t>179-193.</w:t>
      </w:r>
    </w:p>
  </w:footnote>
  <w:footnote w:id="15">
    <w:p w14:paraId="659AE0F9" w14:textId="0C5FEDFB" w:rsidR="00182886" w:rsidRPr="005363A6" w:rsidRDefault="00182886">
      <w:pPr>
        <w:pStyle w:val="FootnoteText"/>
        <w:rPr>
          <w:rFonts w:ascii="Bookman Old Style" w:hAnsi="Bookman Old Style"/>
        </w:rPr>
      </w:pPr>
      <w:r w:rsidRPr="00182886">
        <w:rPr>
          <w:rStyle w:val="FootnoteReference"/>
          <w:rFonts w:ascii="Bookman Old Style" w:hAnsi="Bookman Old Style"/>
        </w:rPr>
        <w:footnoteRef/>
      </w:r>
      <w:r w:rsidRPr="00182886">
        <w:rPr>
          <w:rFonts w:ascii="Bookman Old Style" w:hAnsi="Bookman Old Style"/>
        </w:rPr>
        <w:t xml:space="preserve"> </w:t>
      </w:r>
      <w:r w:rsidRPr="00897787">
        <w:rPr>
          <w:rFonts w:ascii="Bookman Old Style" w:hAnsi="Bookman Old Style"/>
        </w:rPr>
        <w:t xml:space="preserve">Apéndice del recurso, págs. </w:t>
      </w:r>
      <w:r>
        <w:rPr>
          <w:rFonts w:ascii="Bookman Old Style" w:hAnsi="Bookman Old Style"/>
        </w:rPr>
        <w:t>1</w:t>
      </w:r>
      <w:r w:rsidR="005363A6">
        <w:rPr>
          <w:rFonts w:ascii="Bookman Old Style" w:hAnsi="Bookman Old Style"/>
        </w:rPr>
        <w:t>83-185.</w:t>
      </w:r>
    </w:p>
  </w:footnote>
  <w:footnote w:id="16">
    <w:p w14:paraId="2FE70857" w14:textId="62426B29" w:rsidR="002D3E40" w:rsidRPr="00BF595A" w:rsidRDefault="002D3E40">
      <w:pPr>
        <w:pStyle w:val="FootnoteText"/>
        <w:rPr>
          <w:rFonts w:ascii="Bookman Old Style" w:hAnsi="Bookman Old Style"/>
        </w:rPr>
      </w:pPr>
      <w:r w:rsidRPr="00BF595A">
        <w:rPr>
          <w:rStyle w:val="FootnoteReference"/>
          <w:rFonts w:ascii="Bookman Old Style" w:hAnsi="Bookman Old Style"/>
        </w:rPr>
        <w:footnoteRef/>
      </w:r>
      <w:r w:rsidRPr="00BF595A">
        <w:rPr>
          <w:rFonts w:ascii="Bookman Old Style" w:hAnsi="Bookman Old Style"/>
        </w:rPr>
        <w:t xml:space="preserve"> Apéndice del recurso, págs. 194-200.</w:t>
      </w:r>
    </w:p>
  </w:footnote>
  <w:footnote w:id="17">
    <w:p w14:paraId="1F2CDD6A" w14:textId="0ED15BA2" w:rsidR="002D3E40" w:rsidRPr="002D3E40" w:rsidRDefault="002D3E40">
      <w:pPr>
        <w:pStyle w:val="FootnoteText"/>
        <w:rPr>
          <w:rFonts w:ascii="Bookman Old Style" w:hAnsi="Bookman Old Style"/>
        </w:rPr>
      </w:pPr>
      <w:r w:rsidRPr="00BF595A">
        <w:rPr>
          <w:rStyle w:val="FootnoteReference"/>
          <w:rFonts w:ascii="Bookman Old Style" w:hAnsi="Bookman Old Style"/>
        </w:rPr>
        <w:footnoteRef/>
      </w:r>
      <w:r w:rsidRPr="00BF595A">
        <w:rPr>
          <w:rFonts w:ascii="Bookman Old Style" w:hAnsi="Bookman Old Style"/>
        </w:rPr>
        <w:t xml:space="preserve"> </w:t>
      </w:r>
      <w:r w:rsidRPr="00BF595A">
        <w:rPr>
          <w:rFonts w:ascii="Bookman Old Style" w:hAnsi="Bookman Old Style"/>
          <w:i/>
          <w:iCs/>
        </w:rPr>
        <w:t>Íd</w:t>
      </w:r>
      <w:r w:rsidRPr="00BF595A">
        <w:rPr>
          <w:rFonts w:ascii="Bookman Old Style" w:hAnsi="Bookman Old Style"/>
        </w:rPr>
        <w:t>., pág. 203.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057A5" w14:textId="77777777" w:rsidR="00CB028B" w:rsidRPr="0021012B" w:rsidRDefault="00CB028B">
    <w:pPr>
      <w:pStyle w:val="Header"/>
      <w:ind w:right="360"/>
      <w:rPr>
        <w:rFonts w:ascii="Verdana" w:hAnsi="Verdana"/>
        <w:sz w:val="20"/>
        <w:szCs w:val="18"/>
      </w:rPr>
    </w:pPr>
  </w:p>
  <w:p w14:paraId="572F46C2" w14:textId="77777777" w:rsidR="00CB028B" w:rsidRPr="0021012B" w:rsidRDefault="00CB028B">
    <w:pPr>
      <w:pStyle w:val="Header"/>
      <w:ind w:right="360"/>
      <w:rPr>
        <w:rFonts w:ascii="Verdana" w:hAnsi="Verdana"/>
        <w:sz w:val="20"/>
        <w:szCs w:val="18"/>
      </w:rPr>
    </w:pPr>
  </w:p>
  <w:p w14:paraId="4BBA5705" w14:textId="77777777" w:rsidR="00CB028B" w:rsidRPr="0021012B" w:rsidRDefault="00CB028B">
    <w:pPr>
      <w:pStyle w:val="Header"/>
      <w:ind w:right="360"/>
      <w:rPr>
        <w:rFonts w:ascii="Verdana" w:hAnsi="Verdana"/>
        <w:sz w:val="20"/>
        <w:szCs w:val="18"/>
      </w:rPr>
    </w:pPr>
  </w:p>
  <w:p w14:paraId="46A92CCA" w14:textId="77777777" w:rsidR="00CB028B" w:rsidRPr="0021012B" w:rsidRDefault="00CB028B" w:rsidP="00CB028B">
    <w:pPr>
      <w:pStyle w:val="Header"/>
      <w:framePr w:wrap="around" w:vAnchor="text" w:hAnchor="margin" w:xAlign="right" w:y="63"/>
      <w:rPr>
        <w:rStyle w:val="PageNumber"/>
        <w:rFonts w:ascii="Bookman Old Style" w:hAnsi="Bookman Old Style"/>
        <w:sz w:val="22"/>
        <w:szCs w:val="22"/>
      </w:rPr>
    </w:pPr>
    <w:r w:rsidRPr="0021012B">
      <w:rPr>
        <w:rStyle w:val="PageNumber"/>
        <w:rFonts w:ascii="Bookman Old Style" w:hAnsi="Bookman Old Style"/>
        <w:sz w:val="22"/>
        <w:szCs w:val="22"/>
      </w:rPr>
      <w:fldChar w:fldCharType="begin"/>
    </w:r>
    <w:r w:rsidRPr="0021012B">
      <w:rPr>
        <w:rStyle w:val="PageNumber"/>
        <w:rFonts w:ascii="Bookman Old Style" w:hAnsi="Bookman Old Style"/>
        <w:sz w:val="22"/>
        <w:szCs w:val="22"/>
      </w:rPr>
      <w:instrText xml:space="preserve">PAGE  </w:instrText>
    </w:r>
    <w:r w:rsidRPr="0021012B">
      <w:rPr>
        <w:rStyle w:val="PageNumber"/>
        <w:rFonts w:ascii="Bookman Old Style" w:hAnsi="Bookman Old Style"/>
        <w:sz w:val="22"/>
        <w:szCs w:val="22"/>
      </w:rPr>
      <w:fldChar w:fldCharType="separate"/>
    </w:r>
    <w:r w:rsidR="007561D9" w:rsidRPr="0021012B">
      <w:rPr>
        <w:rStyle w:val="PageNumber"/>
        <w:rFonts w:ascii="Bookman Old Style" w:hAnsi="Bookman Old Style"/>
        <w:noProof/>
        <w:sz w:val="22"/>
        <w:szCs w:val="22"/>
      </w:rPr>
      <w:t>2</w:t>
    </w:r>
    <w:r w:rsidRPr="0021012B">
      <w:rPr>
        <w:rStyle w:val="PageNumber"/>
        <w:rFonts w:ascii="Bookman Old Style" w:hAnsi="Bookman Old Style"/>
        <w:sz w:val="22"/>
        <w:szCs w:val="22"/>
      </w:rPr>
      <w:fldChar w:fldCharType="end"/>
    </w:r>
  </w:p>
  <w:p w14:paraId="63281048" w14:textId="0779B5EB" w:rsidR="00C53B36" w:rsidRPr="0021012B" w:rsidRDefault="00B1391C" w:rsidP="00B1391C">
    <w:pPr>
      <w:pStyle w:val="Header"/>
      <w:ind w:right="360"/>
      <w:rPr>
        <w:rFonts w:ascii="Bookman Old Style" w:hAnsi="Bookman Old Style"/>
        <w:sz w:val="22"/>
        <w:szCs w:val="22"/>
      </w:rPr>
    </w:pPr>
    <w:r w:rsidRPr="0021012B">
      <w:rPr>
        <w:rFonts w:ascii="Bookman Old Style" w:hAnsi="Bookman Old Style"/>
        <w:sz w:val="22"/>
        <w:szCs w:val="22"/>
      </w:rPr>
      <w:t>KLAN202500085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99D97" w14:textId="77777777" w:rsidR="00CB028B" w:rsidRPr="0021012B" w:rsidRDefault="00CB028B" w:rsidP="0076026C">
    <w:pPr>
      <w:pStyle w:val="Header"/>
      <w:tabs>
        <w:tab w:val="left" w:pos="3960"/>
      </w:tabs>
      <w:ind w:right="360"/>
      <w:rPr>
        <w:rFonts w:ascii="Bookman Old Style" w:hAnsi="Bookman Old Style"/>
        <w:bCs/>
        <w:sz w:val="22"/>
        <w:szCs w:val="18"/>
      </w:rPr>
    </w:pPr>
  </w:p>
  <w:p w14:paraId="55AF8E1C" w14:textId="77777777" w:rsidR="00CB028B" w:rsidRPr="0021012B" w:rsidRDefault="00CB028B" w:rsidP="0076026C">
    <w:pPr>
      <w:pStyle w:val="Header"/>
      <w:tabs>
        <w:tab w:val="left" w:pos="3960"/>
      </w:tabs>
      <w:ind w:right="360"/>
      <w:rPr>
        <w:rFonts w:ascii="Bookman Old Style" w:hAnsi="Bookman Old Style"/>
        <w:bCs/>
        <w:sz w:val="22"/>
        <w:szCs w:val="18"/>
      </w:rPr>
    </w:pPr>
  </w:p>
  <w:p w14:paraId="4AEBA35C" w14:textId="77777777" w:rsidR="00CB028B" w:rsidRPr="0021012B" w:rsidRDefault="00CB028B" w:rsidP="0076026C">
    <w:pPr>
      <w:pStyle w:val="Header"/>
      <w:tabs>
        <w:tab w:val="left" w:pos="3960"/>
      </w:tabs>
      <w:ind w:right="360"/>
      <w:rPr>
        <w:rFonts w:ascii="Bookman Old Style" w:hAnsi="Bookman Old Style"/>
        <w:bCs/>
        <w:sz w:val="22"/>
        <w:szCs w:val="18"/>
      </w:rPr>
    </w:pPr>
  </w:p>
  <w:p w14:paraId="4CE6DC6F" w14:textId="77777777" w:rsidR="00CB028B" w:rsidRPr="0021012B" w:rsidRDefault="00CB028B" w:rsidP="00CB028B">
    <w:pPr>
      <w:pStyle w:val="Header"/>
      <w:framePr w:wrap="around" w:vAnchor="text" w:hAnchor="page" w:x="9914" w:y="35"/>
      <w:rPr>
        <w:rStyle w:val="PageNumber"/>
        <w:rFonts w:ascii="Bookman Old Style" w:hAnsi="Bookman Old Style"/>
        <w:bCs/>
        <w:sz w:val="22"/>
        <w:szCs w:val="18"/>
      </w:rPr>
    </w:pPr>
    <w:r w:rsidRPr="0021012B">
      <w:rPr>
        <w:rStyle w:val="PageNumber"/>
        <w:rFonts w:ascii="Bookman Old Style" w:hAnsi="Bookman Old Style"/>
        <w:bCs/>
        <w:sz w:val="22"/>
        <w:szCs w:val="18"/>
      </w:rPr>
      <w:fldChar w:fldCharType="begin"/>
    </w:r>
    <w:r w:rsidRPr="0021012B">
      <w:rPr>
        <w:rStyle w:val="PageNumber"/>
        <w:rFonts w:ascii="Bookman Old Style" w:hAnsi="Bookman Old Style"/>
        <w:bCs/>
        <w:sz w:val="22"/>
        <w:szCs w:val="18"/>
      </w:rPr>
      <w:instrText xml:space="preserve">PAGE  </w:instrText>
    </w:r>
    <w:r w:rsidRPr="0021012B">
      <w:rPr>
        <w:rStyle w:val="PageNumber"/>
        <w:rFonts w:ascii="Bookman Old Style" w:hAnsi="Bookman Old Style"/>
        <w:bCs/>
        <w:sz w:val="22"/>
        <w:szCs w:val="18"/>
      </w:rPr>
      <w:fldChar w:fldCharType="separate"/>
    </w:r>
    <w:r w:rsidR="006A47D4" w:rsidRPr="0021012B">
      <w:rPr>
        <w:rStyle w:val="PageNumber"/>
        <w:rFonts w:ascii="Bookman Old Style" w:hAnsi="Bookman Old Style"/>
        <w:bCs/>
        <w:noProof/>
        <w:sz w:val="22"/>
        <w:szCs w:val="18"/>
      </w:rPr>
      <w:t>3</w:t>
    </w:r>
    <w:r w:rsidRPr="0021012B">
      <w:rPr>
        <w:rStyle w:val="PageNumber"/>
        <w:rFonts w:ascii="Bookman Old Style" w:hAnsi="Bookman Old Style"/>
        <w:bCs/>
        <w:sz w:val="22"/>
        <w:szCs w:val="18"/>
      </w:rPr>
      <w:fldChar w:fldCharType="end"/>
    </w:r>
  </w:p>
  <w:p w14:paraId="4FA36A43" w14:textId="5528FA99" w:rsidR="00C53B36" w:rsidRPr="0021012B" w:rsidRDefault="005A41C0" w:rsidP="0076026C">
    <w:pPr>
      <w:pStyle w:val="Header"/>
      <w:tabs>
        <w:tab w:val="left" w:pos="3960"/>
      </w:tabs>
      <w:ind w:right="360"/>
      <w:rPr>
        <w:rFonts w:ascii="Bookman Old Style" w:hAnsi="Bookman Old Style"/>
        <w:sz w:val="22"/>
        <w:szCs w:val="18"/>
      </w:rPr>
    </w:pPr>
    <w:r w:rsidRPr="0021012B">
      <w:rPr>
        <w:rFonts w:ascii="Bookman Old Style" w:hAnsi="Bookman Old Style"/>
        <w:bCs/>
        <w:sz w:val="22"/>
        <w:szCs w:val="18"/>
      </w:rPr>
      <w:t>KLAN202500085</w:t>
    </w:r>
    <w:r w:rsidR="00C53B36" w:rsidRPr="0021012B">
      <w:rPr>
        <w:rFonts w:ascii="Bookman Old Style" w:hAnsi="Bookman Old Style"/>
        <w:bCs/>
        <w:sz w:val="22"/>
        <w:szCs w:val="18"/>
      </w:rPr>
      <w:tab/>
    </w:r>
    <w:r w:rsidR="0076026C" w:rsidRPr="0021012B">
      <w:rPr>
        <w:rFonts w:ascii="Bookman Old Style" w:hAnsi="Bookman Old Style"/>
        <w:bCs/>
        <w:sz w:val="22"/>
        <w:szCs w:val="18"/>
      </w:rPr>
      <w:tab/>
    </w:r>
    <w:r w:rsidR="00C53B36" w:rsidRPr="0021012B">
      <w:rPr>
        <w:rFonts w:ascii="Bookman Old Style" w:hAnsi="Bookman Old Style"/>
        <w:sz w:val="22"/>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82EA5"/>
    <w:multiLevelType w:val="hybridMultilevel"/>
    <w:tmpl w:val="BCEAD08A"/>
    <w:lvl w:ilvl="0" w:tplc="500A000F">
      <w:start w:val="1"/>
      <w:numFmt w:val="decimal"/>
      <w:lvlText w:val="%1."/>
      <w:lvlJc w:val="left"/>
      <w:pPr>
        <w:ind w:left="720" w:hanging="360"/>
      </w:pPr>
    </w:lvl>
    <w:lvl w:ilvl="1" w:tplc="500A0019">
      <w:start w:val="1"/>
      <w:numFmt w:val="lowerLetter"/>
      <w:lvlText w:val="%2."/>
      <w:lvlJc w:val="left"/>
      <w:pPr>
        <w:ind w:left="1440" w:hanging="360"/>
      </w:pPr>
    </w:lvl>
    <w:lvl w:ilvl="2" w:tplc="500A001B">
      <w:start w:val="1"/>
      <w:numFmt w:val="lowerRoman"/>
      <w:lvlText w:val="%3."/>
      <w:lvlJc w:val="right"/>
      <w:pPr>
        <w:ind w:left="2160" w:hanging="180"/>
      </w:pPr>
    </w:lvl>
    <w:lvl w:ilvl="3" w:tplc="500A000F">
      <w:start w:val="1"/>
      <w:numFmt w:val="decimal"/>
      <w:lvlText w:val="%4."/>
      <w:lvlJc w:val="left"/>
      <w:pPr>
        <w:ind w:left="2880" w:hanging="360"/>
      </w:pPr>
    </w:lvl>
    <w:lvl w:ilvl="4" w:tplc="500A0019">
      <w:start w:val="1"/>
      <w:numFmt w:val="lowerLetter"/>
      <w:lvlText w:val="%5."/>
      <w:lvlJc w:val="left"/>
      <w:pPr>
        <w:ind w:left="3600" w:hanging="360"/>
      </w:pPr>
    </w:lvl>
    <w:lvl w:ilvl="5" w:tplc="500A001B">
      <w:start w:val="1"/>
      <w:numFmt w:val="lowerRoman"/>
      <w:lvlText w:val="%6."/>
      <w:lvlJc w:val="right"/>
      <w:pPr>
        <w:ind w:left="4320" w:hanging="180"/>
      </w:pPr>
    </w:lvl>
    <w:lvl w:ilvl="6" w:tplc="500A000F">
      <w:start w:val="1"/>
      <w:numFmt w:val="decimal"/>
      <w:lvlText w:val="%7."/>
      <w:lvlJc w:val="left"/>
      <w:pPr>
        <w:ind w:left="5040" w:hanging="360"/>
      </w:pPr>
    </w:lvl>
    <w:lvl w:ilvl="7" w:tplc="500A0019">
      <w:start w:val="1"/>
      <w:numFmt w:val="lowerLetter"/>
      <w:lvlText w:val="%8."/>
      <w:lvlJc w:val="left"/>
      <w:pPr>
        <w:ind w:left="5760" w:hanging="360"/>
      </w:pPr>
    </w:lvl>
    <w:lvl w:ilvl="8" w:tplc="500A001B">
      <w:start w:val="1"/>
      <w:numFmt w:val="lowerRoman"/>
      <w:lvlText w:val="%9."/>
      <w:lvlJc w:val="right"/>
      <w:pPr>
        <w:ind w:left="6480" w:hanging="180"/>
      </w:pPr>
    </w:lvl>
  </w:abstractNum>
  <w:abstractNum w:abstractNumId="1" w15:restartNumberingAfterBreak="0">
    <w:nsid w:val="127678A5"/>
    <w:multiLevelType w:val="hybridMultilevel"/>
    <w:tmpl w:val="44724044"/>
    <w:lvl w:ilvl="0" w:tplc="500A0015">
      <w:start w:val="1"/>
      <w:numFmt w:val="upp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 w15:restartNumberingAfterBreak="0">
    <w:nsid w:val="231C2614"/>
    <w:multiLevelType w:val="hybridMultilevel"/>
    <w:tmpl w:val="49F81BA0"/>
    <w:lvl w:ilvl="0" w:tplc="52CE299A">
      <w:start w:val="1"/>
      <w:numFmt w:val="upperLetter"/>
      <w:lvlText w:val="%1."/>
      <w:lvlJc w:val="left"/>
      <w:pPr>
        <w:ind w:left="720" w:hanging="360"/>
      </w:pPr>
      <w:rPr>
        <w:rFonts w:hint="default"/>
        <w:b/>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 w15:restartNumberingAfterBreak="0">
    <w:nsid w:val="3289628E"/>
    <w:multiLevelType w:val="hybridMultilevel"/>
    <w:tmpl w:val="EDCC336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6B4F49"/>
    <w:multiLevelType w:val="hybridMultilevel"/>
    <w:tmpl w:val="E3641BDC"/>
    <w:lvl w:ilvl="0" w:tplc="BA780BE0">
      <w:start w:val="1"/>
      <w:numFmt w:val="lowerLetter"/>
      <w:lvlText w:val="(%1)"/>
      <w:lvlJc w:val="left"/>
      <w:pPr>
        <w:tabs>
          <w:tab w:val="num" w:pos="1230"/>
        </w:tabs>
        <w:ind w:left="1230" w:hanging="12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71F76AD"/>
    <w:multiLevelType w:val="hybridMultilevel"/>
    <w:tmpl w:val="BC06BC52"/>
    <w:lvl w:ilvl="0" w:tplc="D8BE7C3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29339875">
    <w:abstractNumId w:val="5"/>
  </w:num>
  <w:num w:numId="2" w16cid:durableId="1202521527">
    <w:abstractNumId w:val="4"/>
  </w:num>
  <w:num w:numId="3" w16cid:durableId="805591091">
    <w:abstractNumId w:val="3"/>
  </w:num>
  <w:num w:numId="4" w16cid:durableId="1314404937">
    <w:abstractNumId w:val="2"/>
  </w:num>
  <w:num w:numId="5" w16cid:durableId="2088264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9136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embedSystemFonts/>
  <w:alignBordersAndEdg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3B6"/>
    <w:rsid w:val="000005F0"/>
    <w:rsid w:val="00001A24"/>
    <w:rsid w:val="00001A38"/>
    <w:rsid w:val="00001BC7"/>
    <w:rsid w:val="00002028"/>
    <w:rsid w:val="00006F3F"/>
    <w:rsid w:val="0001274E"/>
    <w:rsid w:val="00012FC8"/>
    <w:rsid w:val="00013625"/>
    <w:rsid w:val="000136DD"/>
    <w:rsid w:val="000136EE"/>
    <w:rsid w:val="00015CE9"/>
    <w:rsid w:val="00017040"/>
    <w:rsid w:val="00020152"/>
    <w:rsid w:val="0002068F"/>
    <w:rsid w:val="000314AA"/>
    <w:rsid w:val="00031881"/>
    <w:rsid w:val="00031E03"/>
    <w:rsid w:val="00032A96"/>
    <w:rsid w:val="00034DA7"/>
    <w:rsid w:val="000355AD"/>
    <w:rsid w:val="000361F7"/>
    <w:rsid w:val="0003689E"/>
    <w:rsid w:val="00037DBD"/>
    <w:rsid w:val="00040037"/>
    <w:rsid w:val="00040A75"/>
    <w:rsid w:val="00041AEE"/>
    <w:rsid w:val="00041B62"/>
    <w:rsid w:val="00042E83"/>
    <w:rsid w:val="000438B7"/>
    <w:rsid w:val="000441A3"/>
    <w:rsid w:val="00044759"/>
    <w:rsid w:val="000457BD"/>
    <w:rsid w:val="00046780"/>
    <w:rsid w:val="00046CB1"/>
    <w:rsid w:val="00047865"/>
    <w:rsid w:val="00047FB0"/>
    <w:rsid w:val="000509FA"/>
    <w:rsid w:val="000532AE"/>
    <w:rsid w:val="000533A6"/>
    <w:rsid w:val="000547C3"/>
    <w:rsid w:val="00054D95"/>
    <w:rsid w:val="000604C7"/>
    <w:rsid w:val="00060C6B"/>
    <w:rsid w:val="00060C7C"/>
    <w:rsid w:val="00061820"/>
    <w:rsid w:val="000618D4"/>
    <w:rsid w:val="0006209D"/>
    <w:rsid w:val="00063135"/>
    <w:rsid w:val="00063557"/>
    <w:rsid w:val="00064D07"/>
    <w:rsid w:val="00065943"/>
    <w:rsid w:val="00066771"/>
    <w:rsid w:val="00070697"/>
    <w:rsid w:val="000711D4"/>
    <w:rsid w:val="00074D3F"/>
    <w:rsid w:val="00075012"/>
    <w:rsid w:val="00075123"/>
    <w:rsid w:val="000769F9"/>
    <w:rsid w:val="00077353"/>
    <w:rsid w:val="0008095A"/>
    <w:rsid w:val="00083D41"/>
    <w:rsid w:val="00087940"/>
    <w:rsid w:val="00087D04"/>
    <w:rsid w:val="0009063A"/>
    <w:rsid w:val="00091CD0"/>
    <w:rsid w:val="0009514D"/>
    <w:rsid w:val="000962C9"/>
    <w:rsid w:val="00096478"/>
    <w:rsid w:val="000968B9"/>
    <w:rsid w:val="000A03B7"/>
    <w:rsid w:val="000A0A42"/>
    <w:rsid w:val="000A0DDA"/>
    <w:rsid w:val="000A19F2"/>
    <w:rsid w:val="000A2DA0"/>
    <w:rsid w:val="000A337F"/>
    <w:rsid w:val="000A53DD"/>
    <w:rsid w:val="000A64D1"/>
    <w:rsid w:val="000A7496"/>
    <w:rsid w:val="000B1455"/>
    <w:rsid w:val="000B199A"/>
    <w:rsid w:val="000B3523"/>
    <w:rsid w:val="000B6563"/>
    <w:rsid w:val="000B7BB2"/>
    <w:rsid w:val="000B7E7A"/>
    <w:rsid w:val="000C0241"/>
    <w:rsid w:val="000C07FB"/>
    <w:rsid w:val="000C1EA1"/>
    <w:rsid w:val="000C3957"/>
    <w:rsid w:val="000C4499"/>
    <w:rsid w:val="000C48B7"/>
    <w:rsid w:val="000C7BE1"/>
    <w:rsid w:val="000D0417"/>
    <w:rsid w:val="000D04A8"/>
    <w:rsid w:val="000D12A0"/>
    <w:rsid w:val="000D17B0"/>
    <w:rsid w:val="000D1C72"/>
    <w:rsid w:val="000D2205"/>
    <w:rsid w:val="000D25F6"/>
    <w:rsid w:val="000D26FB"/>
    <w:rsid w:val="000D5010"/>
    <w:rsid w:val="000D5664"/>
    <w:rsid w:val="000D716D"/>
    <w:rsid w:val="000D7F87"/>
    <w:rsid w:val="000E040A"/>
    <w:rsid w:val="000E0A6F"/>
    <w:rsid w:val="000E1213"/>
    <w:rsid w:val="000E1E06"/>
    <w:rsid w:val="000E2C01"/>
    <w:rsid w:val="000E5BB5"/>
    <w:rsid w:val="000E6376"/>
    <w:rsid w:val="000F1B27"/>
    <w:rsid w:val="000F237B"/>
    <w:rsid w:val="000F2872"/>
    <w:rsid w:val="000F3CBF"/>
    <w:rsid w:val="000F4BA1"/>
    <w:rsid w:val="000F50CD"/>
    <w:rsid w:val="000F5FE8"/>
    <w:rsid w:val="000F70A1"/>
    <w:rsid w:val="000F72C8"/>
    <w:rsid w:val="000F7FAE"/>
    <w:rsid w:val="001037B0"/>
    <w:rsid w:val="00104426"/>
    <w:rsid w:val="00106E54"/>
    <w:rsid w:val="0010765C"/>
    <w:rsid w:val="00107C22"/>
    <w:rsid w:val="00110BD2"/>
    <w:rsid w:val="00114854"/>
    <w:rsid w:val="00116D9A"/>
    <w:rsid w:val="00117868"/>
    <w:rsid w:val="00120F0E"/>
    <w:rsid w:val="00121C93"/>
    <w:rsid w:val="00123571"/>
    <w:rsid w:val="0012461A"/>
    <w:rsid w:val="00124809"/>
    <w:rsid w:val="0012550A"/>
    <w:rsid w:val="00126281"/>
    <w:rsid w:val="00130D23"/>
    <w:rsid w:val="00133826"/>
    <w:rsid w:val="00136623"/>
    <w:rsid w:val="00136AEB"/>
    <w:rsid w:val="00136FF9"/>
    <w:rsid w:val="00137264"/>
    <w:rsid w:val="00137746"/>
    <w:rsid w:val="001402D7"/>
    <w:rsid w:val="00140A86"/>
    <w:rsid w:val="00141410"/>
    <w:rsid w:val="00141F02"/>
    <w:rsid w:val="00143718"/>
    <w:rsid w:val="00145666"/>
    <w:rsid w:val="001464BD"/>
    <w:rsid w:val="001475BF"/>
    <w:rsid w:val="00147FDD"/>
    <w:rsid w:val="00150877"/>
    <w:rsid w:val="0015131A"/>
    <w:rsid w:val="00152950"/>
    <w:rsid w:val="001531C6"/>
    <w:rsid w:val="00161151"/>
    <w:rsid w:val="00161406"/>
    <w:rsid w:val="00163173"/>
    <w:rsid w:val="00163E37"/>
    <w:rsid w:val="00166D2B"/>
    <w:rsid w:val="001670D3"/>
    <w:rsid w:val="00167B63"/>
    <w:rsid w:val="00167C64"/>
    <w:rsid w:val="001700B7"/>
    <w:rsid w:val="00170A3E"/>
    <w:rsid w:val="00171372"/>
    <w:rsid w:val="0017223A"/>
    <w:rsid w:val="00172445"/>
    <w:rsid w:val="00172A0F"/>
    <w:rsid w:val="00172EF4"/>
    <w:rsid w:val="00174B95"/>
    <w:rsid w:val="00175D6E"/>
    <w:rsid w:val="001775BA"/>
    <w:rsid w:val="00177874"/>
    <w:rsid w:val="001815AA"/>
    <w:rsid w:val="00181EE5"/>
    <w:rsid w:val="00182314"/>
    <w:rsid w:val="00182886"/>
    <w:rsid w:val="00182A17"/>
    <w:rsid w:val="00182D39"/>
    <w:rsid w:val="00183082"/>
    <w:rsid w:val="001841AE"/>
    <w:rsid w:val="001852DB"/>
    <w:rsid w:val="00186165"/>
    <w:rsid w:val="001878B6"/>
    <w:rsid w:val="001878E3"/>
    <w:rsid w:val="00191EE0"/>
    <w:rsid w:val="00193936"/>
    <w:rsid w:val="00195CA6"/>
    <w:rsid w:val="00195E30"/>
    <w:rsid w:val="00196523"/>
    <w:rsid w:val="001A0E05"/>
    <w:rsid w:val="001A1815"/>
    <w:rsid w:val="001A1848"/>
    <w:rsid w:val="001A1A67"/>
    <w:rsid w:val="001A1FA2"/>
    <w:rsid w:val="001A32D8"/>
    <w:rsid w:val="001A6220"/>
    <w:rsid w:val="001A67DD"/>
    <w:rsid w:val="001A6B67"/>
    <w:rsid w:val="001A76B4"/>
    <w:rsid w:val="001B0E04"/>
    <w:rsid w:val="001B246A"/>
    <w:rsid w:val="001B3A0A"/>
    <w:rsid w:val="001B3F00"/>
    <w:rsid w:val="001B44C0"/>
    <w:rsid w:val="001B489D"/>
    <w:rsid w:val="001B4B45"/>
    <w:rsid w:val="001B62D2"/>
    <w:rsid w:val="001B72CE"/>
    <w:rsid w:val="001B7921"/>
    <w:rsid w:val="001C3052"/>
    <w:rsid w:val="001C344E"/>
    <w:rsid w:val="001C58BC"/>
    <w:rsid w:val="001C5FD9"/>
    <w:rsid w:val="001C73E1"/>
    <w:rsid w:val="001D01B6"/>
    <w:rsid w:val="001D16C0"/>
    <w:rsid w:val="001D1D76"/>
    <w:rsid w:val="001D278E"/>
    <w:rsid w:val="001D2F06"/>
    <w:rsid w:val="001D30AC"/>
    <w:rsid w:val="001D3CE8"/>
    <w:rsid w:val="001D3D04"/>
    <w:rsid w:val="001D4425"/>
    <w:rsid w:val="001D769B"/>
    <w:rsid w:val="001E373D"/>
    <w:rsid w:val="001E4F68"/>
    <w:rsid w:val="001E6239"/>
    <w:rsid w:val="001E7235"/>
    <w:rsid w:val="001E7D05"/>
    <w:rsid w:val="001F0005"/>
    <w:rsid w:val="001F0158"/>
    <w:rsid w:val="001F0AE8"/>
    <w:rsid w:val="001F1CE4"/>
    <w:rsid w:val="001F2DB3"/>
    <w:rsid w:val="001F33AF"/>
    <w:rsid w:val="001F7260"/>
    <w:rsid w:val="0020043D"/>
    <w:rsid w:val="00200D75"/>
    <w:rsid w:val="00201E9C"/>
    <w:rsid w:val="00201EC9"/>
    <w:rsid w:val="0021012B"/>
    <w:rsid w:val="00211DB6"/>
    <w:rsid w:val="002125B6"/>
    <w:rsid w:val="00213EF1"/>
    <w:rsid w:val="00216CD6"/>
    <w:rsid w:val="0021704F"/>
    <w:rsid w:val="002178F7"/>
    <w:rsid w:val="00222826"/>
    <w:rsid w:val="00223B87"/>
    <w:rsid w:val="00226CA3"/>
    <w:rsid w:val="00226F08"/>
    <w:rsid w:val="002312FF"/>
    <w:rsid w:val="00231AAC"/>
    <w:rsid w:val="002364D7"/>
    <w:rsid w:val="002400F2"/>
    <w:rsid w:val="002421F8"/>
    <w:rsid w:val="0024520D"/>
    <w:rsid w:val="002479DD"/>
    <w:rsid w:val="002503FA"/>
    <w:rsid w:val="00251C73"/>
    <w:rsid w:val="0025303D"/>
    <w:rsid w:val="0025668E"/>
    <w:rsid w:val="00256B9A"/>
    <w:rsid w:val="00262A43"/>
    <w:rsid w:val="00262F86"/>
    <w:rsid w:val="00263091"/>
    <w:rsid w:val="002639F4"/>
    <w:rsid w:val="00263F4D"/>
    <w:rsid w:val="00264B1E"/>
    <w:rsid w:val="00266959"/>
    <w:rsid w:val="00266C27"/>
    <w:rsid w:val="002678BE"/>
    <w:rsid w:val="002704DF"/>
    <w:rsid w:val="00271220"/>
    <w:rsid w:val="00271DAB"/>
    <w:rsid w:val="00272AD9"/>
    <w:rsid w:val="00274134"/>
    <w:rsid w:val="00274B2C"/>
    <w:rsid w:val="00274EB4"/>
    <w:rsid w:val="00275458"/>
    <w:rsid w:val="00275861"/>
    <w:rsid w:val="00281481"/>
    <w:rsid w:val="002814BC"/>
    <w:rsid w:val="00281AFF"/>
    <w:rsid w:val="00281EB5"/>
    <w:rsid w:val="002833E1"/>
    <w:rsid w:val="00285073"/>
    <w:rsid w:val="00285B1A"/>
    <w:rsid w:val="002866D3"/>
    <w:rsid w:val="00286834"/>
    <w:rsid w:val="00286A2B"/>
    <w:rsid w:val="00286BA3"/>
    <w:rsid w:val="00290A8E"/>
    <w:rsid w:val="0029135B"/>
    <w:rsid w:val="00291448"/>
    <w:rsid w:val="00291BA3"/>
    <w:rsid w:val="00291CF0"/>
    <w:rsid w:val="00292280"/>
    <w:rsid w:val="002931EB"/>
    <w:rsid w:val="00294687"/>
    <w:rsid w:val="0029494A"/>
    <w:rsid w:val="00294D6A"/>
    <w:rsid w:val="00296676"/>
    <w:rsid w:val="00297BF6"/>
    <w:rsid w:val="002A0598"/>
    <w:rsid w:val="002A06D5"/>
    <w:rsid w:val="002A0888"/>
    <w:rsid w:val="002A2336"/>
    <w:rsid w:val="002A2AE0"/>
    <w:rsid w:val="002A3C15"/>
    <w:rsid w:val="002A5EEB"/>
    <w:rsid w:val="002A64D4"/>
    <w:rsid w:val="002A71EA"/>
    <w:rsid w:val="002B1F38"/>
    <w:rsid w:val="002B222B"/>
    <w:rsid w:val="002B4126"/>
    <w:rsid w:val="002B4CE7"/>
    <w:rsid w:val="002B5CE5"/>
    <w:rsid w:val="002B6521"/>
    <w:rsid w:val="002B6645"/>
    <w:rsid w:val="002C06F1"/>
    <w:rsid w:val="002C0902"/>
    <w:rsid w:val="002C1991"/>
    <w:rsid w:val="002C3421"/>
    <w:rsid w:val="002C34D6"/>
    <w:rsid w:val="002C3564"/>
    <w:rsid w:val="002C386F"/>
    <w:rsid w:val="002C4D39"/>
    <w:rsid w:val="002C4E54"/>
    <w:rsid w:val="002C52CE"/>
    <w:rsid w:val="002D09EB"/>
    <w:rsid w:val="002D3E40"/>
    <w:rsid w:val="002D5B67"/>
    <w:rsid w:val="002D6974"/>
    <w:rsid w:val="002E0041"/>
    <w:rsid w:val="002E02F5"/>
    <w:rsid w:val="002E09AF"/>
    <w:rsid w:val="002E0D58"/>
    <w:rsid w:val="002E0DC0"/>
    <w:rsid w:val="002E1265"/>
    <w:rsid w:val="002E14B1"/>
    <w:rsid w:val="002E14C2"/>
    <w:rsid w:val="002E1F89"/>
    <w:rsid w:val="002E336E"/>
    <w:rsid w:val="002E3469"/>
    <w:rsid w:val="002E4AC9"/>
    <w:rsid w:val="002E510F"/>
    <w:rsid w:val="002E64B6"/>
    <w:rsid w:val="002E65DB"/>
    <w:rsid w:val="002E74B0"/>
    <w:rsid w:val="002E7ADB"/>
    <w:rsid w:val="002F16A3"/>
    <w:rsid w:val="002F1774"/>
    <w:rsid w:val="002F4C38"/>
    <w:rsid w:val="002F5EDE"/>
    <w:rsid w:val="002F7FCB"/>
    <w:rsid w:val="00300CED"/>
    <w:rsid w:val="00302528"/>
    <w:rsid w:val="0030365A"/>
    <w:rsid w:val="00303F7E"/>
    <w:rsid w:val="003050B2"/>
    <w:rsid w:val="00305AB3"/>
    <w:rsid w:val="0030701C"/>
    <w:rsid w:val="00310B66"/>
    <w:rsid w:val="003113B9"/>
    <w:rsid w:val="00312771"/>
    <w:rsid w:val="00312FF2"/>
    <w:rsid w:val="003136DF"/>
    <w:rsid w:val="00314B1D"/>
    <w:rsid w:val="00316A2C"/>
    <w:rsid w:val="00316CA1"/>
    <w:rsid w:val="00316E1C"/>
    <w:rsid w:val="00320045"/>
    <w:rsid w:val="003200F4"/>
    <w:rsid w:val="003203EA"/>
    <w:rsid w:val="003219A8"/>
    <w:rsid w:val="0032318E"/>
    <w:rsid w:val="0032630B"/>
    <w:rsid w:val="00326800"/>
    <w:rsid w:val="00326C6C"/>
    <w:rsid w:val="00330A91"/>
    <w:rsid w:val="003313A6"/>
    <w:rsid w:val="00331421"/>
    <w:rsid w:val="0033266B"/>
    <w:rsid w:val="00332D55"/>
    <w:rsid w:val="00332E2B"/>
    <w:rsid w:val="00334A51"/>
    <w:rsid w:val="00335E62"/>
    <w:rsid w:val="003363F5"/>
    <w:rsid w:val="00341593"/>
    <w:rsid w:val="003419C5"/>
    <w:rsid w:val="0034280B"/>
    <w:rsid w:val="003453A6"/>
    <w:rsid w:val="003458A4"/>
    <w:rsid w:val="00345C27"/>
    <w:rsid w:val="003468DA"/>
    <w:rsid w:val="00352671"/>
    <w:rsid w:val="00352A5C"/>
    <w:rsid w:val="00353821"/>
    <w:rsid w:val="00353F97"/>
    <w:rsid w:val="003554B2"/>
    <w:rsid w:val="00357989"/>
    <w:rsid w:val="003601C4"/>
    <w:rsid w:val="00360499"/>
    <w:rsid w:val="00360982"/>
    <w:rsid w:val="00360D65"/>
    <w:rsid w:val="00361AF4"/>
    <w:rsid w:val="00365163"/>
    <w:rsid w:val="0036613D"/>
    <w:rsid w:val="00371F13"/>
    <w:rsid w:val="00373BCF"/>
    <w:rsid w:val="003745C6"/>
    <w:rsid w:val="00374D7C"/>
    <w:rsid w:val="00375432"/>
    <w:rsid w:val="003776EC"/>
    <w:rsid w:val="00377B6E"/>
    <w:rsid w:val="00384A4A"/>
    <w:rsid w:val="00385300"/>
    <w:rsid w:val="00386112"/>
    <w:rsid w:val="00386753"/>
    <w:rsid w:val="0038697E"/>
    <w:rsid w:val="00386A5E"/>
    <w:rsid w:val="00390DC3"/>
    <w:rsid w:val="00393B51"/>
    <w:rsid w:val="00394571"/>
    <w:rsid w:val="003A28FD"/>
    <w:rsid w:val="003A48E3"/>
    <w:rsid w:val="003A5141"/>
    <w:rsid w:val="003A555A"/>
    <w:rsid w:val="003B10C3"/>
    <w:rsid w:val="003B4D4E"/>
    <w:rsid w:val="003B4F42"/>
    <w:rsid w:val="003B5125"/>
    <w:rsid w:val="003C1010"/>
    <w:rsid w:val="003C1A55"/>
    <w:rsid w:val="003C343C"/>
    <w:rsid w:val="003C4678"/>
    <w:rsid w:val="003C53A1"/>
    <w:rsid w:val="003C643D"/>
    <w:rsid w:val="003C67FC"/>
    <w:rsid w:val="003C6BD9"/>
    <w:rsid w:val="003D205D"/>
    <w:rsid w:val="003D3664"/>
    <w:rsid w:val="003D5922"/>
    <w:rsid w:val="003D709B"/>
    <w:rsid w:val="003D736B"/>
    <w:rsid w:val="003E1187"/>
    <w:rsid w:val="003E1E51"/>
    <w:rsid w:val="003E2B75"/>
    <w:rsid w:val="003E3C03"/>
    <w:rsid w:val="003E40A6"/>
    <w:rsid w:val="003E7321"/>
    <w:rsid w:val="003F0A59"/>
    <w:rsid w:val="003F1121"/>
    <w:rsid w:val="003F3E9F"/>
    <w:rsid w:val="003F45B2"/>
    <w:rsid w:val="003F46A5"/>
    <w:rsid w:val="003F4A31"/>
    <w:rsid w:val="003F4C11"/>
    <w:rsid w:val="003F4CB8"/>
    <w:rsid w:val="003F65F8"/>
    <w:rsid w:val="003F72A1"/>
    <w:rsid w:val="00400506"/>
    <w:rsid w:val="00400FF8"/>
    <w:rsid w:val="004020E2"/>
    <w:rsid w:val="00402428"/>
    <w:rsid w:val="004024CC"/>
    <w:rsid w:val="00404830"/>
    <w:rsid w:val="004057AB"/>
    <w:rsid w:val="0040676F"/>
    <w:rsid w:val="0040756E"/>
    <w:rsid w:val="00407A80"/>
    <w:rsid w:val="0041236E"/>
    <w:rsid w:val="00412553"/>
    <w:rsid w:val="004134DE"/>
    <w:rsid w:val="0041369E"/>
    <w:rsid w:val="0041383F"/>
    <w:rsid w:val="00414D12"/>
    <w:rsid w:val="00420013"/>
    <w:rsid w:val="00422C4E"/>
    <w:rsid w:val="00423C78"/>
    <w:rsid w:val="00427A97"/>
    <w:rsid w:val="00431681"/>
    <w:rsid w:val="00431F82"/>
    <w:rsid w:val="00432D36"/>
    <w:rsid w:val="004330EB"/>
    <w:rsid w:val="00433673"/>
    <w:rsid w:val="0043496E"/>
    <w:rsid w:val="00434F8E"/>
    <w:rsid w:val="00434FCB"/>
    <w:rsid w:val="00435157"/>
    <w:rsid w:val="0043541C"/>
    <w:rsid w:val="00435AA4"/>
    <w:rsid w:val="00437254"/>
    <w:rsid w:val="00437741"/>
    <w:rsid w:val="00441166"/>
    <w:rsid w:val="004446E6"/>
    <w:rsid w:val="00450BDB"/>
    <w:rsid w:val="00450DE6"/>
    <w:rsid w:val="004518EF"/>
    <w:rsid w:val="00451E78"/>
    <w:rsid w:val="004539D4"/>
    <w:rsid w:val="00453BE6"/>
    <w:rsid w:val="004540FD"/>
    <w:rsid w:val="00454733"/>
    <w:rsid w:val="00454F30"/>
    <w:rsid w:val="00455328"/>
    <w:rsid w:val="00455739"/>
    <w:rsid w:val="00455D0F"/>
    <w:rsid w:val="00455FDD"/>
    <w:rsid w:val="004574F9"/>
    <w:rsid w:val="00461F93"/>
    <w:rsid w:val="00463917"/>
    <w:rsid w:val="0046417A"/>
    <w:rsid w:val="00467770"/>
    <w:rsid w:val="004678FB"/>
    <w:rsid w:val="0047035A"/>
    <w:rsid w:val="0047241B"/>
    <w:rsid w:val="00475391"/>
    <w:rsid w:val="00476376"/>
    <w:rsid w:val="00477E3B"/>
    <w:rsid w:val="004866C5"/>
    <w:rsid w:val="00491C36"/>
    <w:rsid w:val="00491EDC"/>
    <w:rsid w:val="00492664"/>
    <w:rsid w:val="0049330B"/>
    <w:rsid w:val="00494223"/>
    <w:rsid w:val="0049509C"/>
    <w:rsid w:val="0049534C"/>
    <w:rsid w:val="004953C8"/>
    <w:rsid w:val="0049650B"/>
    <w:rsid w:val="00496E22"/>
    <w:rsid w:val="00497770"/>
    <w:rsid w:val="00497814"/>
    <w:rsid w:val="00497B2B"/>
    <w:rsid w:val="004A03C1"/>
    <w:rsid w:val="004A1D5C"/>
    <w:rsid w:val="004A4678"/>
    <w:rsid w:val="004A579C"/>
    <w:rsid w:val="004A7223"/>
    <w:rsid w:val="004B1A29"/>
    <w:rsid w:val="004B1E84"/>
    <w:rsid w:val="004B2263"/>
    <w:rsid w:val="004B248C"/>
    <w:rsid w:val="004B2B3C"/>
    <w:rsid w:val="004B5B07"/>
    <w:rsid w:val="004C0A28"/>
    <w:rsid w:val="004C1AA5"/>
    <w:rsid w:val="004C2833"/>
    <w:rsid w:val="004C2B05"/>
    <w:rsid w:val="004C32D0"/>
    <w:rsid w:val="004C377C"/>
    <w:rsid w:val="004C3929"/>
    <w:rsid w:val="004C46B9"/>
    <w:rsid w:val="004C6B6A"/>
    <w:rsid w:val="004C6DCF"/>
    <w:rsid w:val="004D005B"/>
    <w:rsid w:val="004D1E65"/>
    <w:rsid w:val="004D24A1"/>
    <w:rsid w:val="004D2698"/>
    <w:rsid w:val="004D3A7F"/>
    <w:rsid w:val="004D65FD"/>
    <w:rsid w:val="004D6A59"/>
    <w:rsid w:val="004D6CB3"/>
    <w:rsid w:val="004E01ED"/>
    <w:rsid w:val="004E0915"/>
    <w:rsid w:val="004E4B35"/>
    <w:rsid w:val="004E50ED"/>
    <w:rsid w:val="004E523F"/>
    <w:rsid w:val="004E548C"/>
    <w:rsid w:val="004E567E"/>
    <w:rsid w:val="004F0A39"/>
    <w:rsid w:val="004F0C2A"/>
    <w:rsid w:val="004F2A9B"/>
    <w:rsid w:val="004F34C9"/>
    <w:rsid w:val="004F3A66"/>
    <w:rsid w:val="004F3CAF"/>
    <w:rsid w:val="004F3F65"/>
    <w:rsid w:val="004F4659"/>
    <w:rsid w:val="004F47C4"/>
    <w:rsid w:val="004F4EB3"/>
    <w:rsid w:val="004F5E9F"/>
    <w:rsid w:val="005006F0"/>
    <w:rsid w:val="005019AC"/>
    <w:rsid w:val="00502815"/>
    <w:rsid w:val="00502DF4"/>
    <w:rsid w:val="0050739F"/>
    <w:rsid w:val="00507773"/>
    <w:rsid w:val="00507B1B"/>
    <w:rsid w:val="00510A64"/>
    <w:rsid w:val="00510B1D"/>
    <w:rsid w:val="00511E85"/>
    <w:rsid w:val="005120C8"/>
    <w:rsid w:val="0051364E"/>
    <w:rsid w:val="00514531"/>
    <w:rsid w:val="00514F60"/>
    <w:rsid w:val="0051579B"/>
    <w:rsid w:val="00515FD4"/>
    <w:rsid w:val="00516149"/>
    <w:rsid w:val="005163EC"/>
    <w:rsid w:val="00516769"/>
    <w:rsid w:val="005209D9"/>
    <w:rsid w:val="00520AF3"/>
    <w:rsid w:val="00520D2A"/>
    <w:rsid w:val="00522CCF"/>
    <w:rsid w:val="00522D6A"/>
    <w:rsid w:val="00523256"/>
    <w:rsid w:val="00523D97"/>
    <w:rsid w:val="005243F1"/>
    <w:rsid w:val="005255A9"/>
    <w:rsid w:val="00525A58"/>
    <w:rsid w:val="00525FD1"/>
    <w:rsid w:val="00526A5F"/>
    <w:rsid w:val="005271B7"/>
    <w:rsid w:val="00532AB5"/>
    <w:rsid w:val="005334D9"/>
    <w:rsid w:val="00533910"/>
    <w:rsid w:val="00533F33"/>
    <w:rsid w:val="00533F3B"/>
    <w:rsid w:val="00535815"/>
    <w:rsid w:val="005363A6"/>
    <w:rsid w:val="00536AFF"/>
    <w:rsid w:val="005374E7"/>
    <w:rsid w:val="005375D5"/>
    <w:rsid w:val="00540CDA"/>
    <w:rsid w:val="00541437"/>
    <w:rsid w:val="005424EC"/>
    <w:rsid w:val="005438F3"/>
    <w:rsid w:val="00544B64"/>
    <w:rsid w:val="00545223"/>
    <w:rsid w:val="0054733C"/>
    <w:rsid w:val="00547A07"/>
    <w:rsid w:val="00547A68"/>
    <w:rsid w:val="0055074C"/>
    <w:rsid w:val="00550CB7"/>
    <w:rsid w:val="00550E3F"/>
    <w:rsid w:val="0055214E"/>
    <w:rsid w:val="00552421"/>
    <w:rsid w:val="005524D0"/>
    <w:rsid w:val="005527A1"/>
    <w:rsid w:val="00552E34"/>
    <w:rsid w:val="00552FAE"/>
    <w:rsid w:val="00553444"/>
    <w:rsid w:val="005536F0"/>
    <w:rsid w:val="00553AC0"/>
    <w:rsid w:val="00554391"/>
    <w:rsid w:val="005553B8"/>
    <w:rsid w:val="00556274"/>
    <w:rsid w:val="00557075"/>
    <w:rsid w:val="005574CD"/>
    <w:rsid w:val="00560543"/>
    <w:rsid w:val="00561163"/>
    <w:rsid w:val="005615EB"/>
    <w:rsid w:val="00561BFD"/>
    <w:rsid w:val="00563711"/>
    <w:rsid w:val="00563B10"/>
    <w:rsid w:val="005643B6"/>
    <w:rsid w:val="005644C4"/>
    <w:rsid w:val="00564B9B"/>
    <w:rsid w:val="00564CBD"/>
    <w:rsid w:val="00565A53"/>
    <w:rsid w:val="005660F0"/>
    <w:rsid w:val="00566C2E"/>
    <w:rsid w:val="00567B36"/>
    <w:rsid w:val="00567CED"/>
    <w:rsid w:val="00567F13"/>
    <w:rsid w:val="0057068C"/>
    <w:rsid w:val="005715ED"/>
    <w:rsid w:val="00571E44"/>
    <w:rsid w:val="005734E5"/>
    <w:rsid w:val="00573A93"/>
    <w:rsid w:val="00575A9B"/>
    <w:rsid w:val="00575C34"/>
    <w:rsid w:val="0057661A"/>
    <w:rsid w:val="00576728"/>
    <w:rsid w:val="0057736F"/>
    <w:rsid w:val="00580B38"/>
    <w:rsid w:val="00582922"/>
    <w:rsid w:val="00584E1F"/>
    <w:rsid w:val="0058504F"/>
    <w:rsid w:val="00585059"/>
    <w:rsid w:val="00585106"/>
    <w:rsid w:val="0058529F"/>
    <w:rsid w:val="00585DAC"/>
    <w:rsid w:val="00587371"/>
    <w:rsid w:val="00587656"/>
    <w:rsid w:val="00587C76"/>
    <w:rsid w:val="005903CA"/>
    <w:rsid w:val="00590B08"/>
    <w:rsid w:val="00590F19"/>
    <w:rsid w:val="00591C08"/>
    <w:rsid w:val="005922BB"/>
    <w:rsid w:val="00592C06"/>
    <w:rsid w:val="005937EC"/>
    <w:rsid w:val="0059389A"/>
    <w:rsid w:val="005961D2"/>
    <w:rsid w:val="00597396"/>
    <w:rsid w:val="00597FEE"/>
    <w:rsid w:val="005A0799"/>
    <w:rsid w:val="005A2184"/>
    <w:rsid w:val="005A220A"/>
    <w:rsid w:val="005A41C0"/>
    <w:rsid w:val="005A4522"/>
    <w:rsid w:val="005A4B43"/>
    <w:rsid w:val="005A4C2C"/>
    <w:rsid w:val="005A6A83"/>
    <w:rsid w:val="005A744F"/>
    <w:rsid w:val="005B1579"/>
    <w:rsid w:val="005B3EFC"/>
    <w:rsid w:val="005B4DF9"/>
    <w:rsid w:val="005B4F13"/>
    <w:rsid w:val="005B523C"/>
    <w:rsid w:val="005B60B6"/>
    <w:rsid w:val="005B693B"/>
    <w:rsid w:val="005B7C7F"/>
    <w:rsid w:val="005C0717"/>
    <w:rsid w:val="005C0D0E"/>
    <w:rsid w:val="005C25E7"/>
    <w:rsid w:val="005C2BA5"/>
    <w:rsid w:val="005C3AF7"/>
    <w:rsid w:val="005C5C0B"/>
    <w:rsid w:val="005C67CA"/>
    <w:rsid w:val="005C7835"/>
    <w:rsid w:val="005D33D0"/>
    <w:rsid w:val="005D3511"/>
    <w:rsid w:val="005D43F3"/>
    <w:rsid w:val="005D64EA"/>
    <w:rsid w:val="005E01C5"/>
    <w:rsid w:val="005E0C35"/>
    <w:rsid w:val="005E11CD"/>
    <w:rsid w:val="005E154F"/>
    <w:rsid w:val="005E17BD"/>
    <w:rsid w:val="005E256D"/>
    <w:rsid w:val="005E28D6"/>
    <w:rsid w:val="005E364C"/>
    <w:rsid w:val="005E39F3"/>
    <w:rsid w:val="005E44A8"/>
    <w:rsid w:val="005E6AFF"/>
    <w:rsid w:val="005E6DD1"/>
    <w:rsid w:val="005F11CB"/>
    <w:rsid w:val="005F33E6"/>
    <w:rsid w:val="005F4F7B"/>
    <w:rsid w:val="005F645A"/>
    <w:rsid w:val="005F668C"/>
    <w:rsid w:val="00600642"/>
    <w:rsid w:val="0060118C"/>
    <w:rsid w:val="00601A4A"/>
    <w:rsid w:val="00601BC2"/>
    <w:rsid w:val="00602DEB"/>
    <w:rsid w:val="00603410"/>
    <w:rsid w:val="00603494"/>
    <w:rsid w:val="00605436"/>
    <w:rsid w:val="00607288"/>
    <w:rsid w:val="00611C61"/>
    <w:rsid w:val="00612435"/>
    <w:rsid w:val="00613AAF"/>
    <w:rsid w:val="00614518"/>
    <w:rsid w:val="006157A4"/>
    <w:rsid w:val="00617167"/>
    <w:rsid w:val="006211BD"/>
    <w:rsid w:val="006219DE"/>
    <w:rsid w:val="00621EDA"/>
    <w:rsid w:val="006223EE"/>
    <w:rsid w:val="006235E1"/>
    <w:rsid w:val="006244EA"/>
    <w:rsid w:val="00624E75"/>
    <w:rsid w:val="006252AC"/>
    <w:rsid w:val="00626F68"/>
    <w:rsid w:val="00630114"/>
    <w:rsid w:val="00633519"/>
    <w:rsid w:val="0063581F"/>
    <w:rsid w:val="00635AFC"/>
    <w:rsid w:val="006371D6"/>
    <w:rsid w:val="006379D2"/>
    <w:rsid w:val="006401EE"/>
    <w:rsid w:val="00640FDE"/>
    <w:rsid w:val="00646982"/>
    <w:rsid w:val="00650741"/>
    <w:rsid w:val="00652F7B"/>
    <w:rsid w:val="00653348"/>
    <w:rsid w:val="0065370C"/>
    <w:rsid w:val="00654062"/>
    <w:rsid w:val="00655D75"/>
    <w:rsid w:val="00655E12"/>
    <w:rsid w:val="0065687F"/>
    <w:rsid w:val="0065757A"/>
    <w:rsid w:val="00657AEC"/>
    <w:rsid w:val="0066163B"/>
    <w:rsid w:val="00662CB0"/>
    <w:rsid w:val="006633BE"/>
    <w:rsid w:val="00663512"/>
    <w:rsid w:val="0066380B"/>
    <w:rsid w:val="00663FD6"/>
    <w:rsid w:val="0066581E"/>
    <w:rsid w:val="0066685D"/>
    <w:rsid w:val="00666FCB"/>
    <w:rsid w:val="00667515"/>
    <w:rsid w:val="006678D8"/>
    <w:rsid w:val="00667B06"/>
    <w:rsid w:val="006707C9"/>
    <w:rsid w:val="00670FCC"/>
    <w:rsid w:val="00674052"/>
    <w:rsid w:val="006741D9"/>
    <w:rsid w:val="00674240"/>
    <w:rsid w:val="006747FF"/>
    <w:rsid w:val="00674B05"/>
    <w:rsid w:val="00674FD6"/>
    <w:rsid w:val="00675116"/>
    <w:rsid w:val="00677599"/>
    <w:rsid w:val="00681B7D"/>
    <w:rsid w:val="0068331F"/>
    <w:rsid w:val="00684DF4"/>
    <w:rsid w:val="006857E0"/>
    <w:rsid w:val="006870A4"/>
    <w:rsid w:val="0068761C"/>
    <w:rsid w:val="00687BD3"/>
    <w:rsid w:val="00690881"/>
    <w:rsid w:val="00692255"/>
    <w:rsid w:val="006922B2"/>
    <w:rsid w:val="006950AF"/>
    <w:rsid w:val="00695D04"/>
    <w:rsid w:val="00695FB7"/>
    <w:rsid w:val="00696FD0"/>
    <w:rsid w:val="006971BE"/>
    <w:rsid w:val="00697543"/>
    <w:rsid w:val="006A06CE"/>
    <w:rsid w:val="006A1FC5"/>
    <w:rsid w:val="006A242D"/>
    <w:rsid w:val="006A2F14"/>
    <w:rsid w:val="006A3DB6"/>
    <w:rsid w:val="006A47D4"/>
    <w:rsid w:val="006A4BD4"/>
    <w:rsid w:val="006A5EEE"/>
    <w:rsid w:val="006A7530"/>
    <w:rsid w:val="006A773F"/>
    <w:rsid w:val="006A7AED"/>
    <w:rsid w:val="006A7B2E"/>
    <w:rsid w:val="006B013D"/>
    <w:rsid w:val="006B089E"/>
    <w:rsid w:val="006B0E16"/>
    <w:rsid w:val="006B11A0"/>
    <w:rsid w:val="006B138A"/>
    <w:rsid w:val="006B23D6"/>
    <w:rsid w:val="006B2BD4"/>
    <w:rsid w:val="006B2F6B"/>
    <w:rsid w:val="006B3053"/>
    <w:rsid w:val="006B3D1B"/>
    <w:rsid w:val="006B3D4A"/>
    <w:rsid w:val="006B54C2"/>
    <w:rsid w:val="006B6515"/>
    <w:rsid w:val="006B6972"/>
    <w:rsid w:val="006B7340"/>
    <w:rsid w:val="006C334C"/>
    <w:rsid w:val="006C3E43"/>
    <w:rsid w:val="006C42F2"/>
    <w:rsid w:val="006C47F5"/>
    <w:rsid w:val="006C4CE7"/>
    <w:rsid w:val="006C5B89"/>
    <w:rsid w:val="006C5CFF"/>
    <w:rsid w:val="006C6F17"/>
    <w:rsid w:val="006C73B5"/>
    <w:rsid w:val="006C769B"/>
    <w:rsid w:val="006C7C82"/>
    <w:rsid w:val="006D0E0B"/>
    <w:rsid w:val="006D124A"/>
    <w:rsid w:val="006D1E9C"/>
    <w:rsid w:val="006D3D96"/>
    <w:rsid w:val="006D54F2"/>
    <w:rsid w:val="006D6413"/>
    <w:rsid w:val="006D7756"/>
    <w:rsid w:val="006E1EE4"/>
    <w:rsid w:val="006E2E88"/>
    <w:rsid w:val="006E3455"/>
    <w:rsid w:val="006E3593"/>
    <w:rsid w:val="006E36D4"/>
    <w:rsid w:val="006E4D45"/>
    <w:rsid w:val="006E5708"/>
    <w:rsid w:val="006E6DED"/>
    <w:rsid w:val="006E74B7"/>
    <w:rsid w:val="006E76B4"/>
    <w:rsid w:val="006F10C1"/>
    <w:rsid w:val="006F11A1"/>
    <w:rsid w:val="006F2AD0"/>
    <w:rsid w:val="006F2DED"/>
    <w:rsid w:val="006F2E35"/>
    <w:rsid w:val="006F32B9"/>
    <w:rsid w:val="006F39FA"/>
    <w:rsid w:val="006F4D3C"/>
    <w:rsid w:val="006F66C4"/>
    <w:rsid w:val="006F6861"/>
    <w:rsid w:val="006F77DB"/>
    <w:rsid w:val="00704A78"/>
    <w:rsid w:val="00704AE9"/>
    <w:rsid w:val="00706C48"/>
    <w:rsid w:val="00706D7F"/>
    <w:rsid w:val="00707292"/>
    <w:rsid w:val="00710035"/>
    <w:rsid w:val="00710811"/>
    <w:rsid w:val="00710BDB"/>
    <w:rsid w:val="00710D07"/>
    <w:rsid w:val="00713DDA"/>
    <w:rsid w:val="00713EEB"/>
    <w:rsid w:val="00714552"/>
    <w:rsid w:val="00715644"/>
    <w:rsid w:val="00715CF8"/>
    <w:rsid w:val="007171F9"/>
    <w:rsid w:val="00721195"/>
    <w:rsid w:val="00721868"/>
    <w:rsid w:val="007228C2"/>
    <w:rsid w:val="00722C95"/>
    <w:rsid w:val="007247B3"/>
    <w:rsid w:val="007248EB"/>
    <w:rsid w:val="00730AF6"/>
    <w:rsid w:val="0073103B"/>
    <w:rsid w:val="00732797"/>
    <w:rsid w:val="00732EF4"/>
    <w:rsid w:val="007337AD"/>
    <w:rsid w:val="00734BB9"/>
    <w:rsid w:val="00735734"/>
    <w:rsid w:val="00735EC5"/>
    <w:rsid w:val="007364C9"/>
    <w:rsid w:val="00737582"/>
    <w:rsid w:val="00742946"/>
    <w:rsid w:val="0074318B"/>
    <w:rsid w:val="007476D0"/>
    <w:rsid w:val="007515B5"/>
    <w:rsid w:val="00752EEC"/>
    <w:rsid w:val="007533BA"/>
    <w:rsid w:val="007557D2"/>
    <w:rsid w:val="00755D1B"/>
    <w:rsid w:val="00756135"/>
    <w:rsid w:val="007561D9"/>
    <w:rsid w:val="007577E8"/>
    <w:rsid w:val="0076026C"/>
    <w:rsid w:val="0076047B"/>
    <w:rsid w:val="00762D00"/>
    <w:rsid w:val="007637EA"/>
    <w:rsid w:val="0076411C"/>
    <w:rsid w:val="00764E41"/>
    <w:rsid w:val="00765B0A"/>
    <w:rsid w:val="007660D6"/>
    <w:rsid w:val="00767422"/>
    <w:rsid w:val="007719AA"/>
    <w:rsid w:val="0077227E"/>
    <w:rsid w:val="007761C0"/>
    <w:rsid w:val="0077636C"/>
    <w:rsid w:val="007763B6"/>
    <w:rsid w:val="007767CA"/>
    <w:rsid w:val="00776E7A"/>
    <w:rsid w:val="00776FD4"/>
    <w:rsid w:val="007771FD"/>
    <w:rsid w:val="00777801"/>
    <w:rsid w:val="00782527"/>
    <w:rsid w:val="007826C9"/>
    <w:rsid w:val="00783AAD"/>
    <w:rsid w:val="00784CB3"/>
    <w:rsid w:val="00785C5A"/>
    <w:rsid w:val="00790387"/>
    <w:rsid w:val="00790F12"/>
    <w:rsid w:val="0079212C"/>
    <w:rsid w:val="0079252E"/>
    <w:rsid w:val="00792E66"/>
    <w:rsid w:val="00793454"/>
    <w:rsid w:val="00793C0E"/>
    <w:rsid w:val="00795868"/>
    <w:rsid w:val="00795BB5"/>
    <w:rsid w:val="007965F1"/>
    <w:rsid w:val="007A18C1"/>
    <w:rsid w:val="007A1AB9"/>
    <w:rsid w:val="007A2313"/>
    <w:rsid w:val="007A3D66"/>
    <w:rsid w:val="007A5CE9"/>
    <w:rsid w:val="007A6427"/>
    <w:rsid w:val="007A6793"/>
    <w:rsid w:val="007A7689"/>
    <w:rsid w:val="007B0C92"/>
    <w:rsid w:val="007B48AC"/>
    <w:rsid w:val="007B529F"/>
    <w:rsid w:val="007B5B89"/>
    <w:rsid w:val="007C133E"/>
    <w:rsid w:val="007C1F44"/>
    <w:rsid w:val="007C2247"/>
    <w:rsid w:val="007C2A4A"/>
    <w:rsid w:val="007C4445"/>
    <w:rsid w:val="007D3597"/>
    <w:rsid w:val="007D3B37"/>
    <w:rsid w:val="007D64BC"/>
    <w:rsid w:val="007D65BB"/>
    <w:rsid w:val="007D6B79"/>
    <w:rsid w:val="007D7C68"/>
    <w:rsid w:val="007E1FD8"/>
    <w:rsid w:val="007E2553"/>
    <w:rsid w:val="007E46B8"/>
    <w:rsid w:val="007E4A0E"/>
    <w:rsid w:val="007E57ED"/>
    <w:rsid w:val="007E5C6B"/>
    <w:rsid w:val="007E78C2"/>
    <w:rsid w:val="007F06C9"/>
    <w:rsid w:val="007F24CD"/>
    <w:rsid w:val="007F268E"/>
    <w:rsid w:val="007F2BF2"/>
    <w:rsid w:val="007F3E96"/>
    <w:rsid w:val="007F422B"/>
    <w:rsid w:val="007F426D"/>
    <w:rsid w:val="007F5691"/>
    <w:rsid w:val="007F6AA4"/>
    <w:rsid w:val="00801203"/>
    <w:rsid w:val="00801546"/>
    <w:rsid w:val="00802DCA"/>
    <w:rsid w:val="008039FA"/>
    <w:rsid w:val="00803AB2"/>
    <w:rsid w:val="00803E6F"/>
    <w:rsid w:val="0080510E"/>
    <w:rsid w:val="00805328"/>
    <w:rsid w:val="00805A12"/>
    <w:rsid w:val="008078CB"/>
    <w:rsid w:val="00807DFD"/>
    <w:rsid w:val="00807E9D"/>
    <w:rsid w:val="00811751"/>
    <w:rsid w:val="00812E19"/>
    <w:rsid w:val="008132B2"/>
    <w:rsid w:val="008139D3"/>
    <w:rsid w:val="00814235"/>
    <w:rsid w:val="00814626"/>
    <w:rsid w:val="00815496"/>
    <w:rsid w:val="00815680"/>
    <w:rsid w:val="008156E1"/>
    <w:rsid w:val="00816096"/>
    <w:rsid w:val="00816449"/>
    <w:rsid w:val="00817137"/>
    <w:rsid w:val="00820F8A"/>
    <w:rsid w:val="008238E5"/>
    <w:rsid w:val="0082598A"/>
    <w:rsid w:val="0083063C"/>
    <w:rsid w:val="00833957"/>
    <w:rsid w:val="00833BF9"/>
    <w:rsid w:val="008343E3"/>
    <w:rsid w:val="00834D7D"/>
    <w:rsid w:val="008359A8"/>
    <w:rsid w:val="00837353"/>
    <w:rsid w:val="0084107A"/>
    <w:rsid w:val="00841AA7"/>
    <w:rsid w:val="008423C3"/>
    <w:rsid w:val="00842E60"/>
    <w:rsid w:val="00843729"/>
    <w:rsid w:val="008446D8"/>
    <w:rsid w:val="008456A1"/>
    <w:rsid w:val="00845771"/>
    <w:rsid w:val="008465D1"/>
    <w:rsid w:val="00846D7A"/>
    <w:rsid w:val="00847241"/>
    <w:rsid w:val="00847A3D"/>
    <w:rsid w:val="00847E18"/>
    <w:rsid w:val="008534A3"/>
    <w:rsid w:val="00853504"/>
    <w:rsid w:val="008553AA"/>
    <w:rsid w:val="00855974"/>
    <w:rsid w:val="008563C5"/>
    <w:rsid w:val="00857676"/>
    <w:rsid w:val="00857691"/>
    <w:rsid w:val="00857BA8"/>
    <w:rsid w:val="00862906"/>
    <w:rsid w:val="0086370E"/>
    <w:rsid w:val="00866B3C"/>
    <w:rsid w:val="00867281"/>
    <w:rsid w:val="0087284C"/>
    <w:rsid w:val="00875B49"/>
    <w:rsid w:val="008776C8"/>
    <w:rsid w:val="0088085D"/>
    <w:rsid w:val="00881474"/>
    <w:rsid w:val="00881D59"/>
    <w:rsid w:val="00881FAE"/>
    <w:rsid w:val="00885C41"/>
    <w:rsid w:val="00886C95"/>
    <w:rsid w:val="00887529"/>
    <w:rsid w:val="008877B4"/>
    <w:rsid w:val="00890417"/>
    <w:rsid w:val="00891180"/>
    <w:rsid w:val="008921C7"/>
    <w:rsid w:val="00893495"/>
    <w:rsid w:val="00893C05"/>
    <w:rsid w:val="008962F1"/>
    <w:rsid w:val="00897787"/>
    <w:rsid w:val="008A1123"/>
    <w:rsid w:val="008A16C6"/>
    <w:rsid w:val="008A1E84"/>
    <w:rsid w:val="008A38E6"/>
    <w:rsid w:val="008A4074"/>
    <w:rsid w:val="008A5124"/>
    <w:rsid w:val="008A5C57"/>
    <w:rsid w:val="008B0978"/>
    <w:rsid w:val="008B1E14"/>
    <w:rsid w:val="008B21E0"/>
    <w:rsid w:val="008B2C2D"/>
    <w:rsid w:val="008B4B39"/>
    <w:rsid w:val="008B504B"/>
    <w:rsid w:val="008B5ADE"/>
    <w:rsid w:val="008B6B7B"/>
    <w:rsid w:val="008C053F"/>
    <w:rsid w:val="008C1F64"/>
    <w:rsid w:val="008C2100"/>
    <w:rsid w:val="008C2ACF"/>
    <w:rsid w:val="008C50CB"/>
    <w:rsid w:val="008C6102"/>
    <w:rsid w:val="008C676C"/>
    <w:rsid w:val="008C6B30"/>
    <w:rsid w:val="008C6FB7"/>
    <w:rsid w:val="008C7B46"/>
    <w:rsid w:val="008D1AFE"/>
    <w:rsid w:val="008D1BBF"/>
    <w:rsid w:val="008D3474"/>
    <w:rsid w:val="008D5197"/>
    <w:rsid w:val="008D54B9"/>
    <w:rsid w:val="008D6978"/>
    <w:rsid w:val="008D7814"/>
    <w:rsid w:val="008E19C7"/>
    <w:rsid w:val="008E1BED"/>
    <w:rsid w:val="008E1ED6"/>
    <w:rsid w:val="008E2CB2"/>
    <w:rsid w:val="008E3A90"/>
    <w:rsid w:val="008E778F"/>
    <w:rsid w:val="008E77E7"/>
    <w:rsid w:val="008F191C"/>
    <w:rsid w:val="008F3869"/>
    <w:rsid w:val="008F3AAE"/>
    <w:rsid w:val="008F3C27"/>
    <w:rsid w:val="008F5F04"/>
    <w:rsid w:val="008F72F9"/>
    <w:rsid w:val="00901CC1"/>
    <w:rsid w:val="00901F0A"/>
    <w:rsid w:val="009023E6"/>
    <w:rsid w:val="0090280F"/>
    <w:rsid w:val="009029E7"/>
    <w:rsid w:val="00903A3F"/>
    <w:rsid w:val="00904019"/>
    <w:rsid w:val="009049FE"/>
    <w:rsid w:val="0090691B"/>
    <w:rsid w:val="00907672"/>
    <w:rsid w:val="00907B63"/>
    <w:rsid w:val="00907BC7"/>
    <w:rsid w:val="00907EFE"/>
    <w:rsid w:val="00910A42"/>
    <w:rsid w:val="009120F0"/>
    <w:rsid w:val="00912EAA"/>
    <w:rsid w:val="00914BF9"/>
    <w:rsid w:val="00914ECD"/>
    <w:rsid w:val="00917573"/>
    <w:rsid w:val="009218ED"/>
    <w:rsid w:val="00924824"/>
    <w:rsid w:val="0092514A"/>
    <w:rsid w:val="0092694E"/>
    <w:rsid w:val="009273F8"/>
    <w:rsid w:val="009323BA"/>
    <w:rsid w:val="009325F3"/>
    <w:rsid w:val="00932857"/>
    <w:rsid w:val="0093349F"/>
    <w:rsid w:val="00937274"/>
    <w:rsid w:val="00937B7A"/>
    <w:rsid w:val="00940057"/>
    <w:rsid w:val="009422D7"/>
    <w:rsid w:val="009428A4"/>
    <w:rsid w:val="00943FF9"/>
    <w:rsid w:val="00945022"/>
    <w:rsid w:val="0094502E"/>
    <w:rsid w:val="00946BF8"/>
    <w:rsid w:val="009479D6"/>
    <w:rsid w:val="009479E4"/>
    <w:rsid w:val="0095061D"/>
    <w:rsid w:val="00950E6A"/>
    <w:rsid w:val="0095154F"/>
    <w:rsid w:val="00951BFF"/>
    <w:rsid w:val="00953E66"/>
    <w:rsid w:val="00954456"/>
    <w:rsid w:val="009546C4"/>
    <w:rsid w:val="00954C7A"/>
    <w:rsid w:val="00955191"/>
    <w:rsid w:val="00955844"/>
    <w:rsid w:val="00955938"/>
    <w:rsid w:val="00955F8D"/>
    <w:rsid w:val="00956545"/>
    <w:rsid w:val="00960BA3"/>
    <w:rsid w:val="009610D0"/>
    <w:rsid w:val="00962227"/>
    <w:rsid w:val="00962B28"/>
    <w:rsid w:val="009630D7"/>
    <w:rsid w:val="00963EC4"/>
    <w:rsid w:val="00965DB7"/>
    <w:rsid w:val="00967AA2"/>
    <w:rsid w:val="00970197"/>
    <w:rsid w:val="00971BE2"/>
    <w:rsid w:val="009733BB"/>
    <w:rsid w:val="0097513C"/>
    <w:rsid w:val="00975F0E"/>
    <w:rsid w:val="009764A6"/>
    <w:rsid w:val="00976D26"/>
    <w:rsid w:val="009775FB"/>
    <w:rsid w:val="009826B4"/>
    <w:rsid w:val="0098487B"/>
    <w:rsid w:val="00985D22"/>
    <w:rsid w:val="0098705B"/>
    <w:rsid w:val="009873A7"/>
    <w:rsid w:val="00987FEE"/>
    <w:rsid w:val="009906A8"/>
    <w:rsid w:val="00992DF1"/>
    <w:rsid w:val="009931F5"/>
    <w:rsid w:val="00993694"/>
    <w:rsid w:val="00993CBE"/>
    <w:rsid w:val="00994E72"/>
    <w:rsid w:val="009958AB"/>
    <w:rsid w:val="0099648D"/>
    <w:rsid w:val="00997808"/>
    <w:rsid w:val="009A07EA"/>
    <w:rsid w:val="009A0986"/>
    <w:rsid w:val="009A1476"/>
    <w:rsid w:val="009A49DD"/>
    <w:rsid w:val="009A4C24"/>
    <w:rsid w:val="009A4E00"/>
    <w:rsid w:val="009A51DA"/>
    <w:rsid w:val="009A6554"/>
    <w:rsid w:val="009A6B6B"/>
    <w:rsid w:val="009B0D93"/>
    <w:rsid w:val="009B50D7"/>
    <w:rsid w:val="009B5661"/>
    <w:rsid w:val="009B619E"/>
    <w:rsid w:val="009B6D13"/>
    <w:rsid w:val="009B7187"/>
    <w:rsid w:val="009B79E9"/>
    <w:rsid w:val="009B7EAF"/>
    <w:rsid w:val="009C0D91"/>
    <w:rsid w:val="009C149E"/>
    <w:rsid w:val="009C1696"/>
    <w:rsid w:val="009C2A56"/>
    <w:rsid w:val="009C3155"/>
    <w:rsid w:val="009C356A"/>
    <w:rsid w:val="009C472B"/>
    <w:rsid w:val="009C530D"/>
    <w:rsid w:val="009C73E1"/>
    <w:rsid w:val="009C7B4A"/>
    <w:rsid w:val="009D10DB"/>
    <w:rsid w:val="009D2167"/>
    <w:rsid w:val="009D54E9"/>
    <w:rsid w:val="009D56D1"/>
    <w:rsid w:val="009E02DD"/>
    <w:rsid w:val="009E0E9C"/>
    <w:rsid w:val="009E4755"/>
    <w:rsid w:val="009E4F6D"/>
    <w:rsid w:val="009E765C"/>
    <w:rsid w:val="009F14D7"/>
    <w:rsid w:val="009F1F07"/>
    <w:rsid w:val="009F2B28"/>
    <w:rsid w:val="009F3048"/>
    <w:rsid w:val="009F41F8"/>
    <w:rsid w:val="009F4DDC"/>
    <w:rsid w:val="009F54A3"/>
    <w:rsid w:val="009F5C52"/>
    <w:rsid w:val="009F62DE"/>
    <w:rsid w:val="009F7823"/>
    <w:rsid w:val="009F7C71"/>
    <w:rsid w:val="00A002F7"/>
    <w:rsid w:val="00A0077A"/>
    <w:rsid w:val="00A02A3C"/>
    <w:rsid w:val="00A05F28"/>
    <w:rsid w:val="00A06244"/>
    <w:rsid w:val="00A10751"/>
    <w:rsid w:val="00A10BD5"/>
    <w:rsid w:val="00A12C68"/>
    <w:rsid w:val="00A133C3"/>
    <w:rsid w:val="00A14B05"/>
    <w:rsid w:val="00A154BF"/>
    <w:rsid w:val="00A156E8"/>
    <w:rsid w:val="00A16C8B"/>
    <w:rsid w:val="00A17CD4"/>
    <w:rsid w:val="00A20366"/>
    <w:rsid w:val="00A20DE1"/>
    <w:rsid w:val="00A21508"/>
    <w:rsid w:val="00A21BB1"/>
    <w:rsid w:val="00A2526E"/>
    <w:rsid w:val="00A322BA"/>
    <w:rsid w:val="00A334B6"/>
    <w:rsid w:val="00A33A50"/>
    <w:rsid w:val="00A35B07"/>
    <w:rsid w:val="00A36930"/>
    <w:rsid w:val="00A4044B"/>
    <w:rsid w:val="00A4075C"/>
    <w:rsid w:val="00A40BD0"/>
    <w:rsid w:val="00A41174"/>
    <w:rsid w:val="00A4271B"/>
    <w:rsid w:val="00A4302A"/>
    <w:rsid w:val="00A45DE5"/>
    <w:rsid w:val="00A45EE1"/>
    <w:rsid w:val="00A468B6"/>
    <w:rsid w:val="00A46CB0"/>
    <w:rsid w:val="00A4702C"/>
    <w:rsid w:val="00A47F02"/>
    <w:rsid w:val="00A51F3E"/>
    <w:rsid w:val="00A53DEB"/>
    <w:rsid w:val="00A54622"/>
    <w:rsid w:val="00A5519A"/>
    <w:rsid w:val="00A555A6"/>
    <w:rsid w:val="00A55C02"/>
    <w:rsid w:val="00A5658D"/>
    <w:rsid w:val="00A5692F"/>
    <w:rsid w:val="00A57DB9"/>
    <w:rsid w:val="00A615CB"/>
    <w:rsid w:val="00A62B41"/>
    <w:rsid w:val="00A63477"/>
    <w:rsid w:val="00A656E2"/>
    <w:rsid w:val="00A67676"/>
    <w:rsid w:val="00A709C7"/>
    <w:rsid w:val="00A70E40"/>
    <w:rsid w:val="00A71FF0"/>
    <w:rsid w:val="00A72170"/>
    <w:rsid w:val="00A740FE"/>
    <w:rsid w:val="00A746B1"/>
    <w:rsid w:val="00A74F7F"/>
    <w:rsid w:val="00A7522B"/>
    <w:rsid w:val="00A752C7"/>
    <w:rsid w:val="00A75668"/>
    <w:rsid w:val="00A76E19"/>
    <w:rsid w:val="00A77400"/>
    <w:rsid w:val="00A778CB"/>
    <w:rsid w:val="00A81507"/>
    <w:rsid w:val="00A81F22"/>
    <w:rsid w:val="00A83500"/>
    <w:rsid w:val="00A836FE"/>
    <w:rsid w:val="00A86F34"/>
    <w:rsid w:val="00A8710B"/>
    <w:rsid w:val="00A87762"/>
    <w:rsid w:val="00A90431"/>
    <w:rsid w:val="00A90F61"/>
    <w:rsid w:val="00A91055"/>
    <w:rsid w:val="00A91768"/>
    <w:rsid w:val="00A917FE"/>
    <w:rsid w:val="00A91A74"/>
    <w:rsid w:val="00A92428"/>
    <w:rsid w:val="00A93342"/>
    <w:rsid w:val="00A9411A"/>
    <w:rsid w:val="00A9622A"/>
    <w:rsid w:val="00A96E35"/>
    <w:rsid w:val="00A977CE"/>
    <w:rsid w:val="00A97B87"/>
    <w:rsid w:val="00AA0139"/>
    <w:rsid w:val="00AA261F"/>
    <w:rsid w:val="00AA3306"/>
    <w:rsid w:val="00AA3AE9"/>
    <w:rsid w:val="00AA5216"/>
    <w:rsid w:val="00AA5362"/>
    <w:rsid w:val="00AA63F6"/>
    <w:rsid w:val="00AA6EA3"/>
    <w:rsid w:val="00AB2881"/>
    <w:rsid w:val="00AB2AE0"/>
    <w:rsid w:val="00AB4AB7"/>
    <w:rsid w:val="00AB4D4A"/>
    <w:rsid w:val="00AC0FA2"/>
    <w:rsid w:val="00AC1C3A"/>
    <w:rsid w:val="00AC2D11"/>
    <w:rsid w:val="00AC3059"/>
    <w:rsid w:val="00AC316B"/>
    <w:rsid w:val="00AC3E94"/>
    <w:rsid w:val="00AC4720"/>
    <w:rsid w:val="00AC4C5D"/>
    <w:rsid w:val="00AC515C"/>
    <w:rsid w:val="00AC53C8"/>
    <w:rsid w:val="00AC5453"/>
    <w:rsid w:val="00AD01EE"/>
    <w:rsid w:val="00AD03CA"/>
    <w:rsid w:val="00AD03E7"/>
    <w:rsid w:val="00AD157D"/>
    <w:rsid w:val="00AD16E1"/>
    <w:rsid w:val="00AD352A"/>
    <w:rsid w:val="00AD5E74"/>
    <w:rsid w:val="00AD6038"/>
    <w:rsid w:val="00AD67EF"/>
    <w:rsid w:val="00AD7743"/>
    <w:rsid w:val="00AD7E5B"/>
    <w:rsid w:val="00AE053C"/>
    <w:rsid w:val="00AE0826"/>
    <w:rsid w:val="00AE2365"/>
    <w:rsid w:val="00AE2766"/>
    <w:rsid w:val="00AE4312"/>
    <w:rsid w:val="00AE6636"/>
    <w:rsid w:val="00AF19D6"/>
    <w:rsid w:val="00AF1F0A"/>
    <w:rsid w:val="00AF21D3"/>
    <w:rsid w:val="00AF365E"/>
    <w:rsid w:val="00AF3939"/>
    <w:rsid w:val="00AF43BF"/>
    <w:rsid w:val="00AF4969"/>
    <w:rsid w:val="00AF5B40"/>
    <w:rsid w:val="00AF5B80"/>
    <w:rsid w:val="00AF5F69"/>
    <w:rsid w:val="00AF6925"/>
    <w:rsid w:val="00AF7719"/>
    <w:rsid w:val="00AF7F8F"/>
    <w:rsid w:val="00B01376"/>
    <w:rsid w:val="00B0195E"/>
    <w:rsid w:val="00B04D33"/>
    <w:rsid w:val="00B05057"/>
    <w:rsid w:val="00B0508A"/>
    <w:rsid w:val="00B05FC9"/>
    <w:rsid w:val="00B068C7"/>
    <w:rsid w:val="00B07156"/>
    <w:rsid w:val="00B07A52"/>
    <w:rsid w:val="00B07B7A"/>
    <w:rsid w:val="00B10102"/>
    <w:rsid w:val="00B11B82"/>
    <w:rsid w:val="00B12401"/>
    <w:rsid w:val="00B12A0C"/>
    <w:rsid w:val="00B12E2E"/>
    <w:rsid w:val="00B13589"/>
    <w:rsid w:val="00B1391C"/>
    <w:rsid w:val="00B16854"/>
    <w:rsid w:val="00B16CAB"/>
    <w:rsid w:val="00B208FC"/>
    <w:rsid w:val="00B21A9C"/>
    <w:rsid w:val="00B2374E"/>
    <w:rsid w:val="00B2543C"/>
    <w:rsid w:val="00B26795"/>
    <w:rsid w:val="00B27623"/>
    <w:rsid w:val="00B3021F"/>
    <w:rsid w:val="00B31CC5"/>
    <w:rsid w:val="00B31D24"/>
    <w:rsid w:val="00B33553"/>
    <w:rsid w:val="00B34311"/>
    <w:rsid w:val="00B3431A"/>
    <w:rsid w:val="00B36ABF"/>
    <w:rsid w:val="00B41E8E"/>
    <w:rsid w:val="00B42162"/>
    <w:rsid w:val="00B427F6"/>
    <w:rsid w:val="00B42CC6"/>
    <w:rsid w:val="00B43BE0"/>
    <w:rsid w:val="00B47406"/>
    <w:rsid w:val="00B5045C"/>
    <w:rsid w:val="00B50ADA"/>
    <w:rsid w:val="00B50ADB"/>
    <w:rsid w:val="00B548CC"/>
    <w:rsid w:val="00B55F20"/>
    <w:rsid w:val="00B56437"/>
    <w:rsid w:val="00B56539"/>
    <w:rsid w:val="00B57B2D"/>
    <w:rsid w:val="00B612C0"/>
    <w:rsid w:val="00B63B23"/>
    <w:rsid w:val="00B65358"/>
    <w:rsid w:val="00B665D2"/>
    <w:rsid w:val="00B67754"/>
    <w:rsid w:val="00B704F4"/>
    <w:rsid w:val="00B73DA5"/>
    <w:rsid w:val="00B750FA"/>
    <w:rsid w:val="00B77867"/>
    <w:rsid w:val="00B80207"/>
    <w:rsid w:val="00B830E5"/>
    <w:rsid w:val="00B83638"/>
    <w:rsid w:val="00B83A0B"/>
    <w:rsid w:val="00B84F52"/>
    <w:rsid w:val="00B8591C"/>
    <w:rsid w:val="00B86F1E"/>
    <w:rsid w:val="00B872BB"/>
    <w:rsid w:val="00B879C7"/>
    <w:rsid w:val="00B87C37"/>
    <w:rsid w:val="00B90A36"/>
    <w:rsid w:val="00B9344C"/>
    <w:rsid w:val="00B94A27"/>
    <w:rsid w:val="00BA02C9"/>
    <w:rsid w:val="00BA03A4"/>
    <w:rsid w:val="00BA08E1"/>
    <w:rsid w:val="00BA0F11"/>
    <w:rsid w:val="00BA15F8"/>
    <w:rsid w:val="00BA2678"/>
    <w:rsid w:val="00BA3325"/>
    <w:rsid w:val="00BA392E"/>
    <w:rsid w:val="00BA5BC8"/>
    <w:rsid w:val="00BA6D57"/>
    <w:rsid w:val="00BA6EAC"/>
    <w:rsid w:val="00BA70C7"/>
    <w:rsid w:val="00BA7867"/>
    <w:rsid w:val="00BB1671"/>
    <w:rsid w:val="00BB3AAE"/>
    <w:rsid w:val="00BB54F3"/>
    <w:rsid w:val="00BB7632"/>
    <w:rsid w:val="00BB7761"/>
    <w:rsid w:val="00BB7BB9"/>
    <w:rsid w:val="00BB7BEF"/>
    <w:rsid w:val="00BC2B64"/>
    <w:rsid w:val="00BC4734"/>
    <w:rsid w:val="00BC5704"/>
    <w:rsid w:val="00BC6E09"/>
    <w:rsid w:val="00BC770A"/>
    <w:rsid w:val="00BD2B36"/>
    <w:rsid w:val="00BD43A8"/>
    <w:rsid w:val="00BD46DC"/>
    <w:rsid w:val="00BD63D9"/>
    <w:rsid w:val="00BD67DC"/>
    <w:rsid w:val="00BD7F44"/>
    <w:rsid w:val="00BE00AB"/>
    <w:rsid w:val="00BE00DF"/>
    <w:rsid w:val="00BE107F"/>
    <w:rsid w:val="00BE38CB"/>
    <w:rsid w:val="00BE3A1C"/>
    <w:rsid w:val="00BE4028"/>
    <w:rsid w:val="00BE50C6"/>
    <w:rsid w:val="00BE6756"/>
    <w:rsid w:val="00BE6802"/>
    <w:rsid w:val="00BE68B2"/>
    <w:rsid w:val="00BE6A7B"/>
    <w:rsid w:val="00BF0EB8"/>
    <w:rsid w:val="00BF13E3"/>
    <w:rsid w:val="00BF1430"/>
    <w:rsid w:val="00BF309D"/>
    <w:rsid w:val="00BF4614"/>
    <w:rsid w:val="00BF595A"/>
    <w:rsid w:val="00BF5D5A"/>
    <w:rsid w:val="00BF7DBD"/>
    <w:rsid w:val="00C00542"/>
    <w:rsid w:val="00C01FDF"/>
    <w:rsid w:val="00C02349"/>
    <w:rsid w:val="00C059C6"/>
    <w:rsid w:val="00C102F4"/>
    <w:rsid w:val="00C12FE7"/>
    <w:rsid w:val="00C14B06"/>
    <w:rsid w:val="00C14CAA"/>
    <w:rsid w:val="00C16556"/>
    <w:rsid w:val="00C16CF1"/>
    <w:rsid w:val="00C207DA"/>
    <w:rsid w:val="00C21407"/>
    <w:rsid w:val="00C24F6D"/>
    <w:rsid w:val="00C26882"/>
    <w:rsid w:val="00C27720"/>
    <w:rsid w:val="00C31054"/>
    <w:rsid w:val="00C310A9"/>
    <w:rsid w:val="00C3205A"/>
    <w:rsid w:val="00C344F8"/>
    <w:rsid w:val="00C345B5"/>
    <w:rsid w:val="00C35073"/>
    <w:rsid w:val="00C3563A"/>
    <w:rsid w:val="00C36B96"/>
    <w:rsid w:val="00C3713E"/>
    <w:rsid w:val="00C37CA1"/>
    <w:rsid w:val="00C4455E"/>
    <w:rsid w:val="00C45ED9"/>
    <w:rsid w:val="00C501FC"/>
    <w:rsid w:val="00C52520"/>
    <w:rsid w:val="00C52C11"/>
    <w:rsid w:val="00C53B36"/>
    <w:rsid w:val="00C5454C"/>
    <w:rsid w:val="00C5472A"/>
    <w:rsid w:val="00C55235"/>
    <w:rsid w:val="00C55648"/>
    <w:rsid w:val="00C55975"/>
    <w:rsid w:val="00C56EAB"/>
    <w:rsid w:val="00C61441"/>
    <w:rsid w:val="00C62066"/>
    <w:rsid w:val="00C6243F"/>
    <w:rsid w:val="00C64947"/>
    <w:rsid w:val="00C66FF7"/>
    <w:rsid w:val="00C70528"/>
    <w:rsid w:val="00C70574"/>
    <w:rsid w:val="00C7215A"/>
    <w:rsid w:val="00C72786"/>
    <w:rsid w:val="00C72849"/>
    <w:rsid w:val="00C72A10"/>
    <w:rsid w:val="00C736D2"/>
    <w:rsid w:val="00C74D13"/>
    <w:rsid w:val="00C7581E"/>
    <w:rsid w:val="00C764EC"/>
    <w:rsid w:val="00C770D5"/>
    <w:rsid w:val="00C77E52"/>
    <w:rsid w:val="00C80903"/>
    <w:rsid w:val="00C82932"/>
    <w:rsid w:val="00C8647C"/>
    <w:rsid w:val="00C913FA"/>
    <w:rsid w:val="00C91828"/>
    <w:rsid w:val="00C91F66"/>
    <w:rsid w:val="00C92731"/>
    <w:rsid w:val="00C92EFD"/>
    <w:rsid w:val="00C940A3"/>
    <w:rsid w:val="00C94EB4"/>
    <w:rsid w:val="00C94FEF"/>
    <w:rsid w:val="00C95CCC"/>
    <w:rsid w:val="00C977CE"/>
    <w:rsid w:val="00CA0B98"/>
    <w:rsid w:val="00CA0CDC"/>
    <w:rsid w:val="00CA13CA"/>
    <w:rsid w:val="00CA1866"/>
    <w:rsid w:val="00CA1AEF"/>
    <w:rsid w:val="00CA3C01"/>
    <w:rsid w:val="00CA3EF0"/>
    <w:rsid w:val="00CA3F0B"/>
    <w:rsid w:val="00CA3FBA"/>
    <w:rsid w:val="00CA5494"/>
    <w:rsid w:val="00CA5CFE"/>
    <w:rsid w:val="00CA6A0F"/>
    <w:rsid w:val="00CA7B42"/>
    <w:rsid w:val="00CB028B"/>
    <w:rsid w:val="00CB03EA"/>
    <w:rsid w:val="00CB1482"/>
    <w:rsid w:val="00CB44E7"/>
    <w:rsid w:val="00CB6B7C"/>
    <w:rsid w:val="00CB7BD6"/>
    <w:rsid w:val="00CC04BF"/>
    <w:rsid w:val="00CC243C"/>
    <w:rsid w:val="00CC42AA"/>
    <w:rsid w:val="00CC60C0"/>
    <w:rsid w:val="00CC6824"/>
    <w:rsid w:val="00CC724D"/>
    <w:rsid w:val="00CC7FB2"/>
    <w:rsid w:val="00CD06F6"/>
    <w:rsid w:val="00CD296B"/>
    <w:rsid w:val="00CD2C35"/>
    <w:rsid w:val="00CD3678"/>
    <w:rsid w:val="00CD3C35"/>
    <w:rsid w:val="00CD445B"/>
    <w:rsid w:val="00CD44EC"/>
    <w:rsid w:val="00CD4E39"/>
    <w:rsid w:val="00CD5BA4"/>
    <w:rsid w:val="00CD5DE0"/>
    <w:rsid w:val="00CD667F"/>
    <w:rsid w:val="00CD673E"/>
    <w:rsid w:val="00CD7A7A"/>
    <w:rsid w:val="00CD7B80"/>
    <w:rsid w:val="00CE01A4"/>
    <w:rsid w:val="00CE0A42"/>
    <w:rsid w:val="00CE18E8"/>
    <w:rsid w:val="00CE1EE4"/>
    <w:rsid w:val="00CE2C50"/>
    <w:rsid w:val="00CE5F2E"/>
    <w:rsid w:val="00CE641C"/>
    <w:rsid w:val="00CE6ACD"/>
    <w:rsid w:val="00CF04CA"/>
    <w:rsid w:val="00CF20C6"/>
    <w:rsid w:val="00CF25E1"/>
    <w:rsid w:val="00CF4EC7"/>
    <w:rsid w:val="00CF5296"/>
    <w:rsid w:val="00D01526"/>
    <w:rsid w:val="00D03280"/>
    <w:rsid w:val="00D040B0"/>
    <w:rsid w:val="00D04D07"/>
    <w:rsid w:val="00D07477"/>
    <w:rsid w:val="00D13A94"/>
    <w:rsid w:val="00D141A1"/>
    <w:rsid w:val="00D147B4"/>
    <w:rsid w:val="00D14F8B"/>
    <w:rsid w:val="00D16ADD"/>
    <w:rsid w:val="00D177FD"/>
    <w:rsid w:val="00D20B25"/>
    <w:rsid w:val="00D20B5B"/>
    <w:rsid w:val="00D20CF4"/>
    <w:rsid w:val="00D22291"/>
    <w:rsid w:val="00D236EA"/>
    <w:rsid w:val="00D23D43"/>
    <w:rsid w:val="00D25F8D"/>
    <w:rsid w:val="00D2617E"/>
    <w:rsid w:val="00D26651"/>
    <w:rsid w:val="00D27731"/>
    <w:rsid w:val="00D333F3"/>
    <w:rsid w:val="00D33AAD"/>
    <w:rsid w:val="00D34475"/>
    <w:rsid w:val="00D35763"/>
    <w:rsid w:val="00D37232"/>
    <w:rsid w:val="00D402E1"/>
    <w:rsid w:val="00D40997"/>
    <w:rsid w:val="00D41E84"/>
    <w:rsid w:val="00D4413D"/>
    <w:rsid w:val="00D4789C"/>
    <w:rsid w:val="00D53236"/>
    <w:rsid w:val="00D553CA"/>
    <w:rsid w:val="00D558E4"/>
    <w:rsid w:val="00D57CE7"/>
    <w:rsid w:val="00D6105B"/>
    <w:rsid w:val="00D61FE9"/>
    <w:rsid w:val="00D62782"/>
    <w:rsid w:val="00D627C2"/>
    <w:rsid w:val="00D63CB0"/>
    <w:rsid w:val="00D656A3"/>
    <w:rsid w:val="00D72061"/>
    <w:rsid w:val="00D73C0E"/>
    <w:rsid w:val="00D754BD"/>
    <w:rsid w:val="00D75EC1"/>
    <w:rsid w:val="00D778C9"/>
    <w:rsid w:val="00D80112"/>
    <w:rsid w:val="00D8080A"/>
    <w:rsid w:val="00D81537"/>
    <w:rsid w:val="00D82001"/>
    <w:rsid w:val="00D822F1"/>
    <w:rsid w:val="00D831DA"/>
    <w:rsid w:val="00D83B8E"/>
    <w:rsid w:val="00D8669A"/>
    <w:rsid w:val="00D86E25"/>
    <w:rsid w:val="00D909D4"/>
    <w:rsid w:val="00D910E1"/>
    <w:rsid w:val="00D9174D"/>
    <w:rsid w:val="00D939E0"/>
    <w:rsid w:val="00D942B7"/>
    <w:rsid w:val="00D94C60"/>
    <w:rsid w:val="00D95C12"/>
    <w:rsid w:val="00D9650A"/>
    <w:rsid w:val="00D96DEB"/>
    <w:rsid w:val="00D96FA4"/>
    <w:rsid w:val="00DA0103"/>
    <w:rsid w:val="00DA0473"/>
    <w:rsid w:val="00DA0DB5"/>
    <w:rsid w:val="00DA1007"/>
    <w:rsid w:val="00DA1343"/>
    <w:rsid w:val="00DA139A"/>
    <w:rsid w:val="00DA23DE"/>
    <w:rsid w:val="00DA37BC"/>
    <w:rsid w:val="00DA385D"/>
    <w:rsid w:val="00DA3C83"/>
    <w:rsid w:val="00DA4B65"/>
    <w:rsid w:val="00DA55EA"/>
    <w:rsid w:val="00DA61D0"/>
    <w:rsid w:val="00DA6623"/>
    <w:rsid w:val="00DA7347"/>
    <w:rsid w:val="00DA770B"/>
    <w:rsid w:val="00DB1235"/>
    <w:rsid w:val="00DB26AC"/>
    <w:rsid w:val="00DB449C"/>
    <w:rsid w:val="00DB54D5"/>
    <w:rsid w:val="00DB5DBB"/>
    <w:rsid w:val="00DB5F67"/>
    <w:rsid w:val="00DB7769"/>
    <w:rsid w:val="00DC0F43"/>
    <w:rsid w:val="00DC1BBF"/>
    <w:rsid w:val="00DC1F57"/>
    <w:rsid w:val="00DC2935"/>
    <w:rsid w:val="00DC3DF5"/>
    <w:rsid w:val="00DC56B6"/>
    <w:rsid w:val="00DC5EDC"/>
    <w:rsid w:val="00DC76C4"/>
    <w:rsid w:val="00DC7E83"/>
    <w:rsid w:val="00DD0E94"/>
    <w:rsid w:val="00DD1C5A"/>
    <w:rsid w:val="00DD1DCD"/>
    <w:rsid w:val="00DD341C"/>
    <w:rsid w:val="00DD4607"/>
    <w:rsid w:val="00DD51A2"/>
    <w:rsid w:val="00DD5337"/>
    <w:rsid w:val="00DD64B1"/>
    <w:rsid w:val="00DD77AA"/>
    <w:rsid w:val="00DE006C"/>
    <w:rsid w:val="00DE07D3"/>
    <w:rsid w:val="00DE1F5E"/>
    <w:rsid w:val="00DE3077"/>
    <w:rsid w:val="00DE52B2"/>
    <w:rsid w:val="00DF0A88"/>
    <w:rsid w:val="00DF154B"/>
    <w:rsid w:val="00DF162A"/>
    <w:rsid w:val="00DF1E1F"/>
    <w:rsid w:val="00DF34A7"/>
    <w:rsid w:val="00DF44E6"/>
    <w:rsid w:val="00DF49BE"/>
    <w:rsid w:val="00DF4A19"/>
    <w:rsid w:val="00DF504E"/>
    <w:rsid w:val="00DF696B"/>
    <w:rsid w:val="00DF6C86"/>
    <w:rsid w:val="00DF6CE0"/>
    <w:rsid w:val="00E00069"/>
    <w:rsid w:val="00E0280D"/>
    <w:rsid w:val="00E02F6B"/>
    <w:rsid w:val="00E039A8"/>
    <w:rsid w:val="00E03EF1"/>
    <w:rsid w:val="00E03FE1"/>
    <w:rsid w:val="00E04C15"/>
    <w:rsid w:val="00E10240"/>
    <w:rsid w:val="00E10A9E"/>
    <w:rsid w:val="00E11BD4"/>
    <w:rsid w:val="00E11D41"/>
    <w:rsid w:val="00E12AAC"/>
    <w:rsid w:val="00E12D6F"/>
    <w:rsid w:val="00E13332"/>
    <w:rsid w:val="00E1427D"/>
    <w:rsid w:val="00E14BC1"/>
    <w:rsid w:val="00E14E1F"/>
    <w:rsid w:val="00E15091"/>
    <w:rsid w:val="00E1566A"/>
    <w:rsid w:val="00E156D9"/>
    <w:rsid w:val="00E1593F"/>
    <w:rsid w:val="00E15F8C"/>
    <w:rsid w:val="00E17132"/>
    <w:rsid w:val="00E213CD"/>
    <w:rsid w:val="00E21B4D"/>
    <w:rsid w:val="00E249FE"/>
    <w:rsid w:val="00E25141"/>
    <w:rsid w:val="00E25175"/>
    <w:rsid w:val="00E255EC"/>
    <w:rsid w:val="00E25CFF"/>
    <w:rsid w:val="00E27523"/>
    <w:rsid w:val="00E31242"/>
    <w:rsid w:val="00E31C77"/>
    <w:rsid w:val="00E3282D"/>
    <w:rsid w:val="00E33C1B"/>
    <w:rsid w:val="00E34211"/>
    <w:rsid w:val="00E348F9"/>
    <w:rsid w:val="00E34C74"/>
    <w:rsid w:val="00E3507F"/>
    <w:rsid w:val="00E361E5"/>
    <w:rsid w:val="00E36BD0"/>
    <w:rsid w:val="00E3774C"/>
    <w:rsid w:val="00E37DB5"/>
    <w:rsid w:val="00E40478"/>
    <w:rsid w:val="00E41002"/>
    <w:rsid w:val="00E41C11"/>
    <w:rsid w:val="00E41D95"/>
    <w:rsid w:val="00E42069"/>
    <w:rsid w:val="00E434EC"/>
    <w:rsid w:val="00E44F85"/>
    <w:rsid w:val="00E46578"/>
    <w:rsid w:val="00E46657"/>
    <w:rsid w:val="00E47BBF"/>
    <w:rsid w:val="00E47F31"/>
    <w:rsid w:val="00E5116A"/>
    <w:rsid w:val="00E536A1"/>
    <w:rsid w:val="00E543E5"/>
    <w:rsid w:val="00E5443A"/>
    <w:rsid w:val="00E54AAB"/>
    <w:rsid w:val="00E5518D"/>
    <w:rsid w:val="00E551CB"/>
    <w:rsid w:val="00E563C4"/>
    <w:rsid w:val="00E57941"/>
    <w:rsid w:val="00E602F5"/>
    <w:rsid w:val="00E60670"/>
    <w:rsid w:val="00E609C0"/>
    <w:rsid w:val="00E60F2D"/>
    <w:rsid w:val="00E6136E"/>
    <w:rsid w:val="00E61E97"/>
    <w:rsid w:val="00E625EF"/>
    <w:rsid w:val="00E643E2"/>
    <w:rsid w:val="00E64CBF"/>
    <w:rsid w:val="00E6519E"/>
    <w:rsid w:val="00E65CA3"/>
    <w:rsid w:val="00E70316"/>
    <w:rsid w:val="00E73340"/>
    <w:rsid w:val="00E73547"/>
    <w:rsid w:val="00E741FA"/>
    <w:rsid w:val="00E747E5"/>
    <w:rsid w:val="00E74FCC"/>
    <w:rsid w:val="00E76BFF"/>
    <w:rsid w:val="00E77E9D"/>
    <w:rsid w:val="00E809C8"/>
    <w:rsid w:val="00E80D42"/>
    <w:rsid w:val="00E82396"/>
    <w:rsid w:val="00E844D4"/>
    <w:rsid w:val="00E85261"/>
    <w:rsid w:val="00E85360"/>
    <w:rsid w:val="00E8587C"/>
    <w:rsid w:val="00E86470"/>
    <w:rsid w:val="00E866E6"/>
    <w:rsid w:val="00E86A78"/>
    <w:rsid w:val="00E87B5E"/>
    <w:rsid w:val="00E90AC1"/>
    <w:rsid w:val="00E9292E"/>
    <w:rsid w:val="00E9303B"/>
    <w:rsid w:val="00E93328"/>
    <w:rsid w:val="00E95B2C"/>
    <w:rsid w:val="00E96420"/>
    <w:rsid w:val="00E972D3"/>
    <w:rsid w:val="00E97A85"/>
    <w:rsid w:val="00EA086C"/>
    <w:rsid w:val="00EA09AB"/>
    <w:rsid w:val="00EA5CE0"/>
    <w:rsid w:val="00EA6070"/>
    <w:rsid w:val="00EA639D"/>
    <w:rsid w:val="00EA6599"/>
    <w:rsid w:val="00EB180E"/>
    <w:rsid w:val="00EB2114"/>
    <w:rsid w:val="00EB22C5"/>
    <w:rsid w:val="00EB2502"/>
    <w:rsid w:val="00EB296A"/>
    <w:rsid w:val="00EB32CC"/>
    <w:rsid w:val="00EB5BDA"/>
    <w:rsid w:val="00EB7C5B"/>
    <w:rsid w:val="00EB7D20"/>
    <w:rsid w:val="00EB7EAC"/>
    <w:rsid w:val="00EC0DE4"/>
    <w:rsid w:val="00EC0F4C"/>
    <w:rsid w:val="00EC40B4"/>
    <w:rsid w:val="00EC4EC8"/>
    <w:rsid w:val="00EC5538"/>
    <w:rsid w:val="00EC5E53"/>
    <w:rsid w:val="00EC7198"/>
    <w:rsid w:val="00EC72DE"/>
    <w:rsid w:val="00ED0301"/>
    <w:rsid w:val="00ED14EC"/>
    <w:rsid w:val="00ED19CF"/>
    <w:rsid w:val="00ED26F5"/>
    <w:rsid w:val="00ED29A7"/>
    <w:rsid w:val="00ED33A4"/>
    <w:rsid w:val="00ED4A6F"/>
    <w:rsid w:val="00ED4D13"/>
    <w:rsid w:val="00ED7512"/>
    <w:rsid w:val="00ED799F"/>
    <w:rsid w:val="00ED7C2A"/>
    <w:rsid w:val="00EE062C"/>
    <w:rsid w:val="00EE078D"/>
    <w:rsid w:val="00EE1CEA"/>
    <w:rsid w:val="00EE2F12"/>
    <w:rsid w:val="00EE4568"/>
    <w:rsid w:val="00EE560F"/>
    <w:rsid w:val="00EE69C6"/>
    <w:rsid w:val="00EE6EF0"/>
    <w:rsid w:val="00EE7389"/>
    <w:rsid w:val="00EF05EC"/>
    <w:rsid w:val="00EF0946"/>
    <w:rsid w:val="00EF4225"/>
    <w:rsid w:val="00EF4BA6"/>
    <w:rsid w:val="00EF53F0"/>
    <w:rsid w:val="00EF580F"/>
    <w:rsid w:val="00EF5E2E"/>
    <w:rsid w:val="00EF6DED"/>
    <w:rsid w:val="00EF7A1B"/>
    <w:rsid w:val="00EF7B80"/>
    <w:rsid w:val="00F00F7F"/>
    <w:rsid w:val="00F01941"/>
    <w:rsid w:val="00F01ACC"/>
    <w:rsid w:val="00F01DA1"/>
    <w:rsid w:val="00F0223D"/>
    <w:rsid w:val="00F05331"/>
    <w:rsid w:val="00F05DFF"/>
    <w:rsid w:val="00F06E27"/>
    <w:rsid w:val="00F07C00"/>
    <w:rsid w:val="00F123EF"/>
    <w:rsid w:val="00F13CAC"/>
    <w:rsid w:val="00F140BC"/>
    <w:rsid w:val="00F14329"/>
    <w:rsid w:val="00F144FD"/>
    <w:rsid w:val="00F14ECF"/>
    <w:rsid w:val="00F15180"/>
    <w:rsid w:val="00F16F1A"/>
    <w:rsid w:val="00F177E7"/>
    <w:rsid w:val="00F17FB0"/>
    <w:rsid w:val="00F21237"/>
    <w:rsid w:val="00F21697"/>
    <w:rsid w:val="00F22B9C"/>
    <w:rsid w:val="00F23882"/>
    <w:rsid w:val="00F23E64"/>
    <w:rsid w:val="00F247B2"/>
    <w:rsid w:val="00F25581"/>
    <w:rsid w:val="00F25BCA"/>
    <w:rsid w:val="00F263B9"/>
    <w:rsid w:val="00F2726F"/>
    <w:rsid w:val="00F27C4B"/>
    <w:rsid w:val="00F27DAB"/>
    <w:rsid w:val="00F3333C"/>
    <w:rsid w:val="00F34C2D"/>
    <w:rsid w:val="00F370BC"/>
    <w:rsid w:val="00F404B8"/>
    <w:rsid w:val="00F41F04"/>
    <w:rsid w:val="00F42C4F"/>
    <w:rsid w:val="00F4480D"/>
    <w:rsid w:val="00F45434"/>
    <w:rsid w:val="00F46BEA"/>
    <w:rsid w:val="00F50985"/>
    <w:rsid w:val="00F52DAC"/>
    <w:rsid w:val="00F53226"/>
    <w:rsid w:val="00F5354A"/>
    <w:rsid w:val="00F5527A"/>
    <w:rsid w:val="00F55DD9"/>
    <w:rsid w:val="00F5642D"/>
    <w:rsid w:val="00F60862"/>
    <w:rsid w:val="00F615C5"/>
    <w:rsid w:val="00F61C62"/>
    <w:rsid w:val="00F62810"/>
    <w:rsid w:val="00F66583"/>
    <w:rsid w:val="00F669E4"/>
    <w:rsid w:val="00F67304"/>
    <w:rsid w:val="00F67ECE"/>
    <w:rsid w:val="00F67FE3"/>
    <w:rsid w:val="00F70511"/>
    <w:rsid w:val="00F70A48"/>
    <w:rsid w:val="00F70E38"/>
    <w:rsid w:val="00F710FD"/>
    <w:rsid w:val="00F7174C"/>
    <w:rsid w:val="00F71F99"/>
    <w:rsid w:val="00F720F3"/>
    <w:rsid w:val="00F729F4"/>
    <w:rsid w:val="00F74C30"/>
    <w:rsid w:val="00F77C81"/>
    <w:rsid w:val="00F82E6E"/>
    <w:rsid w:val="00F82E97"/>
    <w:rsid w:val="00F8347D"/>
    <w:rsid w:val="00F83860"/>
    <w:rsid w:val="00F8501B"/>
    <w:rsid w:val="00F8650C"/>
    <w:rsid w:val="00F90D6B"/>
    <w:rsid w:val="00F90E83"/>
    <w:rsid w:val="00F92EF0"/>
    <w:rsid w:val="00F93152"/>
    <w:rsid w:val="00F9488B"/>
    <w:rsid w:val="00F94B6E"/>
    <w:rsid w:val="00F96A9A"/>
    <w:rsid w:val="00FA0D9F"/>
    <w:rsid w:val="00FA1B9C"/>
    <w:rsid w:val="00FA1BED"/>
    <w:rsid w:val="00FA3ECC"/>
    <w:rsid w:val="00FA408C"/>
    <w:rsid w:val="00FA43BA"/>
    <w:rsid w:val="00FA4719"/>
    <w:rsid w:val="00FA6B90"/>
    <w:rsid w:val="00FB047F"/>
    <w:rsid w:val="00FB1068"/>
    <w:rsid w:val="00FB16E9"/>
    <w:rsid w:val="00FB1FAB"/>
    <w:rsid w:val="00FB26C9"/>
    <w:rsid w:val="00FB2843"/>
    <w:rsid w:val="00FB2B2B"/>
    <w:rsid w:val="00FB37C6"/>
    <w:rsid w:val="00FB3C7A"/>
    <w:rsid w:val="00FB6281"/>
    <w:rsid w:val="00FC1235"/>
    <w:rsid w:val="00FC178F"/>
    <w:rsid w:val="00FC3C0F"/>
    <w:rsid w:val="00FC4983"/>
    <w:rsid w:val="00FC5529"/>
    <w:rsid w:val="00FC7A2B"/>
    <w:rsid w:val="00FC7EBC"/>
    <w:rsid w:val="00FD0D1B"/>
    <w:rsid w:val="00FD328D"/>
    <w:rsid w:val="00FD4A97"/>
    <w:rsid w:val="00FD5E09"/>
    <w:rsid w:val="00FD6336"/>
    <w:rsid w:val="00FD7BD7"/>
    <w:rsid w:val="00FE0422"/>
    <w:rsid w:val="00FE520D"/>
    <w:rsid w:val="00FE5D44"/>
    <w:rsid w:val="00FE6A05"/>
    <w:rsid w:val="00FE6BA3"/>
    <w:rsid w:val="00FF3BE3"/>
    <w:rsid w:val="00FF3E92"/>
    <w:rsid w:val="00FF6710"/>
    <w:rsid w:val="00FF6CCD"/>
    <w:rsid w:val="00FF75A7"/>
    <w:rsid w:val="00FF7820"/>
    <w:rsid w:val="00FF7A1E"/>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E483E"/>
  <w15:docId w15:val="{27C9F386-616E-4D3C-9D42-41BB7D60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PR" w:eastAsia="es-P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Courier" w:hAnsi="Courier"/>
      <w:b/>
      <w:szCs w:val="20"/>
      <w:u w:val="single"/>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Courier" w:hAnsi="Courier"/>
      <w:szCs w:val="20"/>
      <w:lang w:val="es-MX"/>
    </w:rPr>
  </w:style>
  <w:style w:type="paragraph" w:styleId="Header">
    <w:name w:val="header"/>
    <w:basedOn w:val="Normal"/>
    <w:pPr>
      <w:tabs>
        <w:tab w:val="center" w:pos="4252"/>
        <w:tab w:val="right" w:pos="8504"/>
      </w:tabs>
    </w:pPr>
    <w:rPr>
      <w:rFonts w:ascii="Courier" w:hAnsi="Courier"/>
      <w:szCs w:val="20"/>
      <w:lang w:val="es-ES"/>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
    <w:name w:val="Body Text Indent"/>
    <w:basedOn w:val="Normal"/>
    <w:pPr>
      <w:spacing w:line="480" w:lineRule="auto"/>
      <w:ind w:firstLine="720"/>
      <w:jc w:val="both"/>
    </w:pPr>
    <w:rPr>
      <w:rFonts w:ascii="Bookman Old Style" w:hAnsi="Bookman Old Style"/>
      <w:lang w:val="es-ES"/>
    </w:rPr>
  </w:style>
  <w:style w:type="paragraph" w:styleId="BlockText">
    <w:name w:val="Block Text"/>
    <w:basedOn w:val="Normal"/>
    <w:pPr>
      <w:spacing w:before="100" w:beforeAutospacing="1" w:after="100" w:afterAutospacing="1"/>
      <w:ind w:left="720" w:right="720"/>
      <w:jc w:val="both"/>
    </w:pPr>
    <w:rPr>
      <w:rFonts w:ascii="Bookman Old Style" w:hAnsi="Bookman Old Style"/>
      <w:lang w:val="es-MX"/>
    </w:rPr>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paragraph" w:customStyle="1" w:styleId="std">
    <w:name w:val="std"/>
    <w:basedOn w:val="Normal"/>
    <w:rsid w:val="007C133E"/>
    <w:rPr>
      <w:rFonts w:ascii="Arial Unicode MS" w:eastAsia="Arial Unicode MS" w:hAnsi="Arial Unicode MS" w:cs="Arial Unicode MS"/>
      <w:lang w:val="en-US"/>
    </w:rPr>
  </w:style>
  <w:style w:type="paragraph" w:styleId="NormalWeb">
    <w:name w:val="Normal (Web)"/>
    <w:basedOn w:val="Normal"/>
    <w:rsid w:val="00EB5BDA"/>
    <w:pPr>
      <w:spacing w:before="100" w:beforeAutospacing="1" w:after="100" w:afterAutospacing="1"/>
    </w:pPr>
    <w:rPr>
      <w:lang w:val="en-US"/>
    </w:rPr>
  </w:style>
  <w:style w:type="paragraph" w:customStyle="1" w:styleId="Artculo">
    <w:name w:val="Artículo"/>
    <w:basedOn w:val="BodyTextIndent2"/>
    <w:autoRedefine/>
    <w:rsid w:val="00EB5BDA"/>
    <w:pPr>
      <w:spacing w:after="0" w:line="240" w:lineRule="auto"/>
      <w:ind w:left="0" w:right="36"/>
    </w:pPr>
    <w:rPr>
      <w:b/>
      <w:bCs/>
      <w:lang w:val="es-ES_tradnl"/>
    </w:rPr>
  </w:style>
  <w:style w:type="paragraph" w:styleId="BodyTextIndent2">
    <w:name w:val="Body Text Indent 2"/>
    <w:basedOn w:val="Normal"/>
    <w:rsid w:val="00EB5BDA"/>
    <w:pPr>
      <w:spacing w:after="120" w:line="480" w:lineRule="auto"/>
      <w:ind w:left="360"/>
    </w:pPr>
  </w:style>
  <w:style w:type="character" w:styleId="Hyperlink">
    <w:name w:val="Hyperlink"/>
    <w:rsid w:val="00A91055"/>
    <w:rPr>
      <w:color w:val="0000FF"/>
      <w:u w:val="single"/>
    </w:rPr>
  </w:style>
  <w:style w:type="paragraph" w:styleId="BodyTextIndent3">
    <w:name w:val="Body Text Indent 3"/>
    <w:basedOn w:val="Normal"/>
    <w:rsid w:val="009B5661"/>
    <w:pPr>
      <w:spacing w:after="120"/>
      <w:ind w:left="360"/>
    </w:pPr>
    <w:rPr>
      <w:sz w:val="16"/>
      <w:szCs w:val="16"/>
    </w:rPr>
  </w:style>
  <w:style w:type="paragraph" w:styleId="BalloonText">
    <w:name w:val="Balloon Text"/>
    <w:basedOn w:val="Normal"/>
    <w:semiHidden/>
    <w:rsid w:val="00EF580F"/>
    <w:rPr>
      <w:rFonts w:ascii="Tahoma" w:hAnsi="Tahoma" w:cs="Tahoma"/>
      <w:sz w:val="16"/>
      <w:szCs w:val="16"/>
    </w:rPr>
  </w:style>
  <w:style w:type="paragraph" w:styleId="NoSpacing">
    <w:name w:val="No Spacing"/>
    <w:uiPriority w:val="1"/>
    <w:qFormat/>
    <w:rsid w:val="00E348F9"/>
    <w:rPr>
      <w:rFonts w:ascii="Calibri" w:eastAsia="Calibri" w:hAnsi="Calibri"/>
      <w:sz w:val="22"/>
      <w:szCs w:val="22"/>
      <w:lang w:eastAsia="en-US"/>
    </w:rPr>
  </w:style>
  <w:style w:type="paragraph" w:styleId="ListParagraph">
    <w:name w:val="List Paragraph"/>
    <w:basedOn w:val="Normal"/>
    <w:uiPriority w:val="34"/>
    <w:qFormat/>
    <w:rsid w:val="00E348F9"/>
    <w:pPr>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semiHidden/>
    <w:rsid w:val="00CC42AA"/>
    <w:rPr>
      <w:lang w:eastAsia="en-US"/>
    </w:rPr>
  </w:style>
  <w:style w:type="character" w:customStyle="1" w:styleId="costarpage">
    <w:name w:val="co_starpage"/>
    <w:basedOn w:val="DefaultParagraphFont"/>
    <w:rsid w:val="006B013D"/>
  </w:style>
  <w:style w:type="character" w:styleId="Emphasis">
    <w:name w:val="Emphasis"/>
    <w:basedOn w:val="DefaultParagraphFont"/>
    <w:uiPriority w:val="20"/>
    <w:qFormat/>
    <w:rsid w:val="00136AEB"/>
    <w:rPr>
      <w:i/>
      <w:iCs/>
    </w:rPr>
  </w:style>
  <w:style w:type="character" w:customStyle="1" w:styleId="normaltextrun">
    <w:name w:val="normaltextrun"/>
    <w:basedOn w:val="DefaultParagraphFont"/>
    <w:rsid w:val="00535815"/>
  </w:style>
  <w:style w:type="character" w:customStyle="1" w:styleId="eop">
    <w:name w:val="eop"/>
    <w:basedOn w:val="DefaultParagraphFont"/>
    <w:rsid w:val="00535815"/>
  </w:style>
  <w:style w:type="character" w:customStyle="1" w:styleId="superscript">
    <w:name w:val="superscript"/>
    <w:basedOn w:val="DefaultParagraphFont"/>
    <w:rsid w:val="00535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42809">
      <w:bodyDiv w:val="1"/>
      <w:marLeft w:val="0"/>
      <w:marRight w:val="0"/>
      <w:marTop w:val="0"/>
      <w:marBottom w:val="0"/>
      <w:divBdr>
        <w:top w:val="none" w:sz="0" w:space="0" w:color="auto"/>
        <w:left w:val="none" w:sz="0" w:space="0" w:color="auto"/>
        <w:bottom w:val="none" w:sz="0" w:space="0" w:color="auto"/>
        <w:right w:val="none" w:sz="0" w:space="0" w:color="auto"/>
      </w:divBdr>
    </w:div>
    <w:div w:id="167213843">
      <w:bodyDiv w:val="1"/>
      <w:marLeft w:val="0"/>
      <w:marRight w:val="0"/>
      <w:marTop w:val="0"/>
      <w:marBottom w:val="0"/>
      <w:divBdr>
        <w:top w:val="none" w:sz="0" w:space="0" w:color="auto"/>
        <w:left w:val="none" w:sz="0" w:space="0" w:color="auto"/>
        <w:bottom w:val="none" w:sz="0" w:space="0" w:color="auto"/>
        <w:right w:val="none" w:sz="0" w:space="0" w:color="auto"/>
      </w:divBdr>
    </w:div>
    <w:div w:id="183443003">
      <w:bodyDiv w:val="1"/>
      <w:marLeft w:val="0"/>
      <w:marRight w:val="0"/>
      <w:marTop w:val="0"/>
      <w:marBottom w:val="0"/>
      <w:divBdr>
        <w:top w:val="none" w:sz="0" w:space="0" w:color="auto"/>
        <w:left w:val="none" w:sz="0" w:space="0" w:color="auto"/>
        <w:bottom w:val="none" w:sz="0" w:space="0" w:color="auto"/>
        <w:right w:val="none" w:sz="0" w:space="0" w:color="auto"/>
      </w:divBdr>
    </w:div>
    <w:div w:id="199168557">
      <w:bodyDiv w:val="1"/>
      <w:marLeft w:val="0"/>
      <w:marRight w:val="0"/>
      <w:marTop w:val="0"/>
      <w:marBottom w:val="0"/>
      <w:divBdr>
        <w:top w:val="none" w:sz="0" w:space="0" w:color="auto"/>
        <w:left w:val="none" w:sz="0" w:space="0" w:color="auto"/>
        <w:bottom w:val="none" w:sz="0" w:space="0" w:color="auto"/>
        <w:right w:val="none" w:sz="0" w:space="0" w:color="auto"/>
      </w:divBdr>
    </w:div>
    <w:div w:id="231894740">
      <w:bodyDiv w:val="1"/>
      <w:marLeft w:val="0"/>
      <w:marRight w:val="0"/>
      <w:marTop w:val="0"/>
      <w:marBottom w:val="0"/>
      <w:divBdr>
        <w:top w:val="none" w:sz="0" w:space="0" w:color="auto"/>
        <w:left w:val="none" w:sz="0" w:space="0" w:color="auto"/>
        <w:bottom w:val="none" w:sz="0" w:space="0" w:color="auto"/>
        <w:right w:val="none" w:sz="0" w:space="0" w:color="auto"/>
      </w:divBdr>
    </w:div>
    <w:div w:id="326594889">
      <w:bodyDiv w:val="1"/>
      <w:marLeft w:val="0"/>
      <w:marRight w:val="0"/>
      <w:marTop w:val="0"/>
      <w:marBottom w:val="0"/>
      <w:divBdr>
        <w:top w:val="none" w:sz="0" w:space="0" w:color="auto"/>
        <w:left w:val="none" w:sz="0" w:space="0" w:color="auto"/>
        <w:bottom w:val="none" w:sz="0" w:space="0" w:color="auto"/>
        <w:right w:val="none" w:sz="0" w:space="0" w:color="auto"/>
      </w:divBdr>
    </w:div>
    <w:div w:id="348720717">
      <w:bodyDiv w:val="1"/>
      <w:marLeft w:val="0"/>
      <w:marRight w:val="0"/>
      <w:marTop w:val="0"/>
      <w:marBottom w:val="0"/>
      <w:divBdr>
        <w:top w:val="none" w:sz="0" w:space="0" w:color="auto"/>
        <w:left w:val="none" w:sz="0" w:space="0" w:color="auto"/>
        <w:bottom w:val="none" w:sz="0" w:space="0" w:color="auto"/>
        <w:right w:val="none" w:sz="0" w:space="0" w:color="auto"/>
      </w:divBdr>
    </w:div>
    <w:div w:id="369691885">
      <w:bodyDiv w:val="1"/>
      <w:marLeft w:val="0"/>
      <w:marRight w:val="0"/>
      <w:marTop w:val="0"/>
      <w:marBottom w:val="0"/>
      <w:divBdr>
        <w:top w:val="none" w:sz="0" w:space="0" w:color="auto"/>
        <w:left w:val="none" w:sz="0" w:space="0" w:color="auto"/>
        <w:bottom w:val="none" w:sz="0" w:space="0" w:color="auto"/>
        <w:right w:val="none" w:sz="0" w:space="0" w:color="auto"/>
      </w:divBdr>
    </w:div>
    <w:div w:id="389691448">
      <w:bodyDiv w:val="1"/>
      <w:marLeft w:val="0"/>
      <w:marRight w:val="0"/>
      <w:marTop w:val="0"/>
      <w:marBottom w:val="0"/>
      <w:divBdr>
        <w:top w:val="none" w:sz="0" w:space="0" w:color="auto"/>
        <w:left w:val="none" w:sz="0" w:space="0" w:color="auto"/>
        <w:bottom w:val="none" w:sz="0" w:space="0" w:color="auto"/>
        <w:right w:val="none" w:sz="0" w:space="0" w:color="auto"/>
      </w:divBdr>
    </w:div>
    <w:div w:id="392974781">
      <w:bodyDiv w:val="1"/>
      <w:marLeft w:val="0"/>
      <w:marRight w:val="0"/>
      <w:marTop w:val="0"/>
      <w:marBottom w:val="0"/>
      <w:divBdr>
        <w:top w:val="none" w:sz="0" w:space="0" w:color="auto"/>
        <w:left w:val="none" w:sz="0" w:space="0" w:color="auto"/>
        <w:bottom w:val="none" w:sz="0" w:space="0" w:color="auto"/>
        <w:right w:val="none" w:sz="0" w:space="0" w:color="auto"/>
      </w:divBdr>
    </w:div>
    <w:div w:id="421608695">
      <w:bodyDiv w:val="1"/>
      <w:marLeft w:val="0"/>
      <w:marRight w:val="0"/>
      <w:marTop w:val="0"/>
      <w:marBottom w:val="0"/>
      <w:divBdr>
        <w:top w:val="none" w:sz="0" w:space="0" w:color="auto"/>
        <w:left w:val="none" w:sz="0" w:space="0" w:color="auto"/>
        <w:bottom w:val="none" w:sz="0" w:space="0" w:color="auto"/>
        <w:right w:val="none" w:sz="0" w:space="0" w:color="auto"/>
      </w:divBdr>
    </w:div>
    <w:div w:id="442111816">
      <w:bodyDiv w:val="1"/>
      <w:marLeft w:val="0"/>
      <w:marRight w:val="0"/>
      <w:marTop w:val="0"/>
      <w:marBottom w:val="0"/>
      <w:divBdr>
        <w:top w:val="none" w:sz="0" w:space="0" w:color="auto"/>
        <w:left w:val="none" w:sz="0" w:space="0" w:color="auto"/>
        <w:bottom w:val="none" w:sz="0" w:space="0" w:color="auto"/>
        <w:right w:val="none" w:sz="0" w:space="0" w:color="auto"/>
      </w:divBdr>
    </w:div>
    <w:div w:id="446512218">
      <w:bodyDiv w:val="1"/>
      <w:marLeft w:val="0"/>
      <w:marRight w:val="0"/>
      <w:marTop w:val="0"/>
      <w:marBottom w:val="0"/>
      <w:divBdr>
        <w:top w:val="none" w:sz="0" w:space="0" w:color="auto"/>
        <w:left w:val="none" w:sz="0" w:space="0" w:color="auto"/>
        <w:bottom w:val="none" w:sz="0" w:space="0" w:color="auto"/>
        <w:right w:val="none" w:sz="0" w:space="0" w:color="auto"/>
      </w:divBdr>
    </w:div>
    <w:div w:id="510754705">
      <w:bodyDiv w:val="1"/>
      <w:marLeft w:val="0"/>
      <w:marRight w:val="0"/>
      <w:marTop w:val="0"/>
      <w:marBottom w:val="0"/>
      <w:divBdr>
        <w:top w:val="none" w:sz="0" w:space="0" w:color="auto"/>
        <w:left w:val="none" w:sz="0" w:space="0" w:color="auto"/>
        <w:bottom w:val="none" w:sz="0" w:space="0" w:color="auto"/>
        <w:right w:val="none" w:sz="0" w:space="0" w:color="auto"/>
      </w:divBdr>
    </w:div>
    <w:div w:id="524488333">
      <w:bodyDiv w:val="1"/>
      <w:marLeft w:val="0"/>
      <w:marRight w:val="0"/>
      <w:marTop w:val="0"/>
      <w:marBottom w:val="0"/>
      <w:divBdr>
        <w:top w:val="none" w:sz="0" w:space="0" w:color="auto"/>
        <w:left w:val="none" w:sz="0" w:space="0" w:color="auto"/>
        <w:bottom w:val="none" w:sz="0" w:space="0" w:color="auto"/>
        <w:right w:val="none" w:sz="0" w:space="0" w:color="auto"/>
      </w:divBdr>
    </w:div>
    <w:div w:id="527642113">
      <w:bodyDiv w:val="1"/>
      <w:marLeft w:val="0"/>
      <w:marRight w:val="0"/>
      <w:marTop w:val="0"/>
      <w:marBottom w:val="0"/>
      <w:divBdr>
        <w:top w:val="none" w:sz="0" w:space="0" w:color="auto"/>
        <w:left w:val="none" w:sz="0" w:space="0" w:color="auto"/>
        <w:bottom w:val="none" w:sz="0" w:space="0" w:color="auto"/>
        <w:right w:val="none" w:sz="0" w:space="0" w:color="auto"/>
      </w:divBdr>
    </w:div>
    <w:div w:id="587886756">
      <w:bodyDiv w:val="1"/>
      <w:marLeft w:val="0"/>
      <w:marRight w:val="0"/>
      <w:marTop w:val="0"/>
      <w:marBottom w:val="0"/>
      <w:divBdr>
        <w:top w:val="none" w:sz="0" w:space="0" w:color="auto"/>
        <w:left w:val="none" w:sz="0" w:space="0" w:color="auto"/>
        <w:bottom w:val="none" w:sz="0" w:space="0" w:color="auto"/>
        <w:right w:val="none" w:sz="0" w:space="0" w:color="auto"/>
      </w:divBdr>
    </w:div>
    <w:div w:id="649093653">
      <w:bodyDiv w:val="1"/>
      <w:marLeft w:val="0"/>
      <w:marRight w:val="0"/>
      <w:marTop w:val="0"/>
      <w:marBottom w:val="0"/>
      <w:divBdr>
        <w:top w:val="none" w:sz="0" w:space="0" w:color="auto"/>
        <w:left w:val="none" w:sz="0" w:space="0" w:color="auto"/>
        <w:bottom w:val="none" w:sz="0" w:space="0" w:color="auto"/>
        <w:right w:val="none" w:sz="0" w:space="0" w:color="auto"/>
      </w:divBdr>
    </w:div>
    <w:div w:id="747850802">
      <w:bodyDiv w:val="1"/>
      <w:marLeft w:val="0"/>
      <w:marRight w:val="0"/>
      <w:marTop w:val="0"/>
      <w:marBottom w:val="0"/>
      <w:divBdr>
        <w:top w:val="none" w:sz="0" w:space="0" w:color="auto"/>
        <w:left w:val="none" w:sz="0" w:space="0" w:color="auto"/>
        <w:bottom w:val="none" w:sz="0" w:space="0" w:color="auto"/>
        <w:right w:val="none" w:sz="0" w:space="0" w:color="auto"/>
      </w:divBdr>
    </w:div>
    <w:div w:id="835808151">
      <w:bodyDiv w:val="1"/>
      <w:marLeft w:val="0"/>
      <w:marRight w:val="0"/>
      <w:marTop w:val="0"/>
      <w:marBottom w:val="0"/>
      <w:divBdr>
        <w:top w:val="none" w:sz="0" w:space="0" w:color="auto"/>
        <w:left w:val="none" w:sz="0" w:space="0" w:color="auto"/>
        <w:bottom w:val="none" w:sz="0" w:space="0" w:color="auto"/>
        <w:right w:val="none" w:sz="0" w:space="0" w:color="auto"/>
      </w:divBdr>
    </w:div>
    <w:div w:id="918294100">
      <w:bodyDiv w:val="1"/>
      <w:marLeft w:val="0"/>
      <w:marRight w:val="0"/>
      <w:marTop w:val="0"/>
      <w:marBottom w:val="0"/>
      <w:divBdr>
        <w:top w:val="none" w:sz="0" w:space="0" w:color="auto"/>
        <w:left w:val="none" w:sz="0" w:space="0" w:color="auto"/>
        <w:bottom w:val="none" w:sz="0" w:space="0" w:color="auto"/>
        <w:right w:val="none" w:sz="0" w:space="0" w:color="auto"/>
      </w:divBdr>
    </w:div>
    <w:div w:id="1054817124">
      <w:bodyDiv w:val="1"/>
      <w:marLeft w:val="0"/>
      <w:marRight w:val="0"/>
      <w:marTop w:val="0"/>
      <w:marBottom w:val="0"/>
      <w:divBdr>
        <w:top w:val="none" w:sz="0" w:space="0" w:color="auto"/>
        <w:left w:val="none" w:sz="0" w:space="0" w:color="auto"/>
        <w:bottom w:val="none" w:sz="0" w:space="0" w:color="auto"/>
        <w:right w:val="none" w:sz="0" w:space="0" w:color="auto"/>
      </w:divBdr>
    </w:div>
    <w:div w:id="1055278097">
      <w:bodyDiv w:val="1"/>
      <w:marLeft w:val="0"/>
      <w:marRight w:val="0"/>
      <w:marTop w:val="0"/>
      <w:marBottom w:val="0"/>
      <w:divBdr>
        <w:top w:val="none" w:sz="0" w:space="0" w:color="auto"/>
        <w:left w:val="none" w:sz="0" w:space="0" w:color="auto"/>
        <w:bottom w:val="none" w:sz="0" w:space="0" w:color="auto"/>
        <w:right w:val="none" w:sz="0" w:space="0" w:color="auto"/>
      </w:divBdr>
    </w:div>
    <w:div w:id="1105273524">
      <w:bodyDiv w:val="1"/>
      <w:marLeft w:val="0"/>
      <w:marRight w:val="0"/>
      <w:marTop w:val="0"/>
      <w:marBottom w:val="0"/>
      <w:divBdr>
        <w:top w:val="none" w:sz="0" w:space="0" w:color="auto"/>
        <w:left w:val="none" w:sz="0" w:space="0" w:color="auto"/>
        <w:bottom w:val="none" w:sz="0" w:space="0" w:color="auto"/>
        <w:right w:val="none" w:sz="0" w:space="0" w:color="auto"/>
      </w:divBdr>
    </w:div>
    <w:div w:id="1123691979">
      <w:bodyDiv w:val="1"/>
      <w:marLeft w:val="0"/>
      <w:marRight w:val="0"/>
      <w:marTop w:val="0"/>
      <w:marBottom w:val="0"/>
      <w:divBdr>
        <w:top w:val="none" w:sz="0" w:space="0" w:color="auto"/>
        <w:left w:val="none" w:sz="0" w:space="0" w:color="auto"/>
        <w:bottom w:val="none" w:sz="0" w:space="0" w:color="auto"/>
        <w:right w:val="none" w:sz="0" w:space="0" w:color="auto"/>
      </w:divBdr>
    </w:div>
    <w:div w:id="1278021443">
      <w:bodyDiv w:val="1"/>
      <w:marLeft w:val="0"/>
      <w:marRight w:val="0"/>
      <w:marTop w:val="0"/>
      <w:marBottom w:val="0"/>
      <w:divBdr>
        <w:top w:val="none" w:sz="0" w:space="0" w:color="auto"/>
        <w:left w:val="none" w:sz="0" w:space="0" w:color="auto"/>
        <w:bottom w:val="none" w:sz="0" w:space="0" w:color="auto"/>
        <w:right w:val="none" w:sz="0" w:space="0" w:color="auto"/>
      </w:divBdr>
    </w:div>
    <w:div w:id="1311406074">
      <w:bodyDiv w:val="1"/>
      <w:marLeft w:val="0"/>
      <w:marRight w:val="0"/>
      <w:marTop w:val="0"/>
      <w:marBottom w:val="0"/>
      <w:divBdr>
        <w:top w:val="none" w:sz="0" w:space="0" w:color="auto"/>
        <w:left w:val="none" w:sz="0" w:space="0" w:color="auto"/>
        <w:bottom w:val="none" w:sz="0" w:space="0" w:color="auto"/>
        <w:right w:val="none" w:sz="0" w:space="0" w:color="auto"/>
      </w:divBdr>
    </w:div>
    <w:div w:id="1358233764">
      <w:bodyDiv w:val="1"/>
      <w:marLeft w:val="0"/>
      <w:marRight w:val="0"/>
      <w:marTop w:val="0"/>
      <w:marBottom w:val="0"/>
      <w:divBdr>
        <w:top w:val="none" w:sz="0" w:space="0" w:color="auto"/>
        <w:left w:val="none" w:sz="0" w:space="0" w:color="auto"/>
        <w:bottom w:val="none" w:sz="0" w:space="0" w:color="auto"/>
        <w:right w:val="none" w:sz="0" w:space="0" w:color="auto"/>
      </w:divBdr>
    </w:div>
    <w:div w:id="1367409250">
      <w:bodyDiv w:val="1"/>
      <w:marLeft w:val="0"/>
      <w:marRight w:val="0"/>
      <w:marTop w:val="0"/>
      <w:marBottom w:val="0"/>
      <w:divBdr>
        <w:top w:val="none" w:sz="0" w:space="0" w:color="auto"/>
        <w:left w:val="none" w:sz="0" w:space="0" w:color="auto"/>
        <w:bottom w:val="none" w:sz="0" w:space="0" w:color="auto"/>
        <w:right w:val="none" w:sz="0" w:space="0" w:color="auto"/>
      </w:divBdr>
    </w:div>
    <w:div w:id="1372462280">
      <w:bodyDiv w:val="1"/>
      <w:marLeft w:val="0"/>
      <w:marRight w:val="0"/>
      <w:marTop w:val="0"/>
      <w:marBottom w:val="0"/>
      <w:divBdr>
        <w:top w:val="none" w:sz="0" w:space="0" w:color="auto"/>
        <w:left w:val="none" w:sz="0" w:space="0" w:color="auto"/>
        <w:bottom w:val="none" w:sz="0" w:space="0" w:color="auto"/>
        <w:right w:val="none" w:sz="0" w:space="0" w:color="auto"/>
      </w:divBdr>
    </w:div>
    <w:div w:id="1425497155">
      <w:bodyDiv w:val="1"/>
      <w:marLeft w:val="0"/>
      <w:marRight w:val="0"/>
      <w:marTop w:val="0"/>
      <w:marBottom w:val="0"/>
      <w:divBdr>
        <w:top w:val="none" w:sz="0" w:space="0" w:color="auto"/>
        <w:left w:val="none" w:sz="0" w:space="0" w:color="auto"/>
        <w:bottom w:val="none" w:sz="0" w:space="0" w:color="auto"/>
        <w:right w:val="none" w:sz="0" w:space="0" w:color="auto"/>
      </w:divBdr>
    </w:div>
    <w:div w:id="1428690584">
      <w:bodyDiv w:val="1"/>
      <w:marLeft w:val="0"/>
      <w:marRight w:val="0"/>
      <w:marTop w:val="0"/>
      <w:marBottom w:val="0"/>
      <w:divBdr>
        <w:top w:val="none" w:sz="0" w:space="0" w:color="auto"/>
        <w:left w:val="none" w:sz="0" w:space="0" w:color="auto"/>
        <w:bottom w:val="none" w:sz="0" w:space="0" w:color="auto"/>
        <w:right w:val="none" w:sz="0" w:space="0" w:color="auto"/>
      </w:divBdr>
    </w:div>
    <w:div w:id="1440024094">
      <w:bodyDiv w:val="1"/>
      <w:marLeft w:val="0"/>
      <w:marRight w:val="0"/>
      <w:marTop w:val="0"/>
      <w:marBottom w:val="0"/>
      <w:divBdr>
        <w:top w:val="none" w:sz="0" w:space="0" w:color="auto"/>
        <w:left w:val="none" w:sz="0" w:space="0" w:color="auto"/>
        <w:bottom w:val="none" w:sz="0" w:space="0" w:color="auto"/>
        <w:right w:val="none" w:sz="0" w:space="0" w:color="auto"/>
      </w:divBdr>
    </w:div>
    <w:div w:id="1446656318">
      <w:bodyDiv w:val="1"/>
      <w:marLeft w:val="0"/>
      <w:marRight w:val="0"/>
      <w:marTop w:val="0"/>
      <w:marBottom w:val="0"/>
      <w:divBdr>
        <w:top w:val="none" w:sz="0" w:space="0" w:color="auto"/>
        <w:left w:val="none" w:sz="0" w:space="0" w:color="auto"/>
        <w:bottom w:val="none" w:sz="0" w:space="0" w:color="auto"/>
        <w:right w:val="none" w:sz="0" w:space="0" w:color="auto"/>
      </w:divBdr>
    </w:div>
    <w:div w:id="1546411376">
      <w:bodyDiv w:val="1"/>
      <w:marLeft w:val="0"/>
      <w:marRight w:val="0"/>
      <w:marTop w:val="0"/>
      <w:marBottom w:val="0"/>
      <w:divBdr>
        <w:top w:val="none" w:sz="0" w:space="0" w:color="auto"/>
        <w:left w:val="none" w:sz="0" w:space="0" w:color="auto"/>
        <w:bottom w:val="none" w:sz="0" w:space="0" w:color="auto"/>
        <w:right w:val="none" w:sz="0" w:space="0" w:color="auto"/>
      </w:divBdr>
    </w:div>
    <w:div w:id="1565681633">
      <w:bodyDiv w:val="1"/>
      <w:marLeft w:val="0"/>
      <w:marRight w:val="0"/>
      <w:marTop w:val="0"/>
      <w:marBottom w:val="0"/>
      <w:divBdr>
        <w:top w:val="none" w:sz="0" w:space="0" w:color="auto"/>
        <w:left w:val="none" w:sz="0" w:space="0" w:color="auto"/>
        <w:bottom w:val="none" w:sz="0" w:space="0" w:color="auto"/>
        <w:right w:val="none" w:sz="0" w:space="0" w:color="auto"/>
      </w:divBdr>
    </w:div>
    <w:div w:id="1603414300">
      <w:bodyDiv w:val="1"/>
      <w:marLeft w:val="0"/>
      <w:marRight w:val="0"/>
      <w:marTop w:val="0"/>
      <w:marBottom w:val="0"/>
      <w:divBdr>
        <w:top w:val="none" w:sz="0" w:space="0" w:color="auto"/>
        <w:left w:val="none" w:sz="0" w:space="0" w:color="auto"/>
        <w:bottom w:val="none" w:sz="0" w:space="0" w:color="auto"/>
        <w:right w:val="none" w:sz="0" w:space="0" w:color="auto"/>
      </w:divBdr>
    </w:div>
    <w:div w:id="1606762628">
      <w:bodyDiv w:val="1"/>
      <w:marLeft w:val="0"/>
      <w:marRight w:val="0"/>
      <w:marTop w:val="0"/>
      <w:marBottom w:val="0"/>
      <w:divBdr>
        <w:top w:val="none" w:sz="0" w:space="0" w:color="auto"/>
        <w:left w:val="none" w:sz="0" w:space="0" w:color="auto"/>
        <w:bottom w:val="none" w:sz="0" w:space="0" w:color="auto"/>
        <w:right w:val="none" w:sz="0" w:space="0" w:color="auto"/>
      </w:divBdr>
    </w:div>
    <w:div w:id="1690063859">
      <w:bodyDiv w:val="1"/>
      <w:marLeft w:val="0"/>
      <w:marRight w:val="0"/>
      <w:marTop w:val="0"/>
      <w:marBottom w:val="0"/>
      <w:divBdr>
        <w:top w:val="none" w:sz="0" w:space="0" w:color="auto"/>
        <w:left w:val="none" w:sz="0" w:space="0" w:color="auto"/>
        <w:bottom w:val="none" w:sz="0" w:space="0" w:color="auto"/>
        <w:right w:val="none" w:sz="0" w:space="0" w:color="auto"/>
      </w:divBdr>
    </w:div>
    <w:div w:id="1696804703">
      <w:bodyDiv w:val="1"/>
      <w:marLeft w:val="0"/>
      <w:marRight w:val="0"/>
      <w:marTop w:val="0"/>
      <w:marBottom w:val="0"/>
      <w:divBdr>
        <w:top w:val="none" w:sz="0" w:space="0" w:color="auto"/>
        <w:left w:val="none" w:sz="0" w:space="0" w:color="auto"/>
        <w:bottom w:val="none" w:sz="0" w:space="0" w:color="auto"/>
        <w:right w:val="none" w:sz="0" w:space="0" w:color="auto"/>
      </w:divBdr>
    </w:div>
    <w:div w:id="1705787611">
      <w:bodyDiv w:val="1"/>
      <w:marLeft w:val="0"/>
      <w:marRight w:val="0"/>
      <w:marTop w:val="0"/>
      <w:marBottom w:val="0"/>
      <w:divBdr>
        <w:top w:val="none" w:sz="0" w:space="0" w:color="auto"/>
        <w:left w:val="none" w:sz="0" w:space="0" w:color="auto"/>
        <w:bottom w:val="none" w:sz="0" w:space="0" w:color="auto"/>
        <w:right w:val="none" w:sz="0" w:space="0" w:color="auto"/>
      </w:divBdr>
    </w:div>
    <w:div w:id="1712726772">
      <w:bodyDiv w:val="1"/>
      <w:marLeft w:val="0"/>
      <w:marRight w:val="0"/>
      <w:marTop w:val="0"/>
      <w:marBottom w:val="0"/>
      <w:divBdr>
        <w:top w:val="none" w:sz="0" w:space="0" w:color="auto"/>
        <w:left w:val="none" w:sz="0" w:space="0" w:color="auto"/>
        <w:bottom w:val="none" w:sz="0" w:space="0" w:color="auto"/>
        <w:right w:val="none" w:sz="0" w:space="0" w:color="auto"/>
      </w:divBdr>
    </w:div>
    <w:div w:id="1745179974">
      <w:bodyDiv w:val="1"/>
      <w:marLeft w:val="0"/>
      <w:marRight w:val="0"/>
      <w:marTop w:val="0"/>
      <w:marBottom w:val="0"/>
      <w:divBdr>
        <w:top w:val="none" w:sz="0" w:space="0" w:color="auto"/>
        <w:left w:val="none" w:sz="0" w:space="0" w:color="auto"/>
        <w:bottom w:val="none" w:sz="0" w:space="0" w:color="auto"/>
        <w:right w:val="none" w:sz="0" w:space="0" w:color="auto"/>
      </w:divBdr>
    </w:div>
    <w:div w:id="1778869516">
      <w:bodyDiv w:val="1"/>
      <w:marLeft w:val="0"/>
      <w:marRight w:val="0"/>
      <w:marTop w:val="0"/>
      <w:marBottom w:val="0"/>
      <w:divBdr>
        <w:top w:val="none" w:sz="0" w:space="0" w:color="auto"/>
        <w:left w:val="none" w:sz="0" w:space="0" w:color="auto"/>
        <w:bottom w:val="none" w:sz="0" w:space="0" w:color="auto"/>
        <w:right w:val="none" w:sz="0" w:space="0" w:color="auto"/>
      </w:divBdr>
    </w:div>
    <w:div w:id="1783066175">
      <w:bodyDiv w:val="1"/>
      <w:marLeft w:val="0"/>
      <w:marRight w:val="0"/>
      <w:marTop w:val="0"/>
      <w:marBottom w:val="0"/>
      <w:divBdr>
        <w:top w:val="none" w:sz="0" w:space="0" w:color="auto"/>
        <w:left w:val="none" w:sz="0" w:space="0" w:color="auto"/>
        <w:bottom w:val="none" w:sz="0" w:space="0" w:color="auto"/>
        <w:right w:val="none" w:sz="0" w:space="0" w:color="auto"/>
      </w:divBdr>
    </w:div>
    <w:div w:id="1839612434">
      <w:bodyDiv w:val="1"/>
      <w:marLeft w:val="0"/>
      <w:marRight w:val="0"/>
      <w:marTop w:val="0"/>
      <w:marBottom w:val="0"/>
      <w:divBdr>
        <w:top w:val="none" w:sz="0" w:space="0" w:color="auto"/>
        <w:left w:val="none" w:sz="0" w:space="0" w:color="auto"/>
        <w:bottom w:val="none" w:sz="0" w:space="0" w:color="auto"/>
        <w:right w:val="none" w:sz="0" w:space="0" w:color="auto"/>
      </w:divBdr>
    </w:div>
    <w:div w:id="1845585422">
      <w:bodyDiv w:val="1"/>
      <w:marLeft w:val="0"/>
      <w:marRight w:val="0"/>
      <w:marTop w:val="0"/>
      <w:marBottom w:val="0"/>
      <w:divBdr>
        <w:top w:val="none" w:sz="0" w:space="0" w:color="auto"/>
        <w:left w:val="none" w:sz="0" w:space="0" w:color="auto"/>
        <w:bottom w:val="none" w:sz="0" w:space="0" w:color="auto"/>
        <w:right w:val="none" w:sz="0" w:space="0" w:color="auto"/>
      </w:divBdr>
    </w:div>
    <w:div w:id="1877039879">
      <w:bodyDiv w:val="1"/>
      <w:marLeft w:val="0"/>
      <w:marRight w:val="0"/>
      <w:marTop w:val="0"/>
      <w:marBottom w:val="0"/>
      <w:divBdr>
        <w:top w:val="none" w:sz="0" w:space="0" w:color="auto"/>
        <w:left w:val="none" w:sz="0" w:space="0" w:color="auto"/>
        <w:bottom w:val="none" w:sz="0" w:space="0" w:color="auto"/>
        <w:right w:val="none" w:sz="0" w:space="0" w:color="auto"/>
      </w:divBdr>
    </w:div>
    <w:div w:id="1886721179">
      <w:bodyDiv w:val="1"/>
      <w:marLeft w:val="0"/>
      <w:marRight w:val="0"/>
      <w:marTop w:val="0"/>
      <w:marBottom w:val="0"/>
      <w:divBdr>
        <w:top w:val="none" w:sz="0" w:space="0" w:color="auto"/>
        <w:left w:val="none" w:sz="0" w:space="0" w:color="auto"/>
        <w:bottom w:val="none" w:sz="0" w:space="0" w:color="auto"/>
        <w:right w:val="none" w:sz="0" w:space="0" w:color="auto"/>
      </w:divBdr>
    </w:div>
    <w:div w:id="1935703721">
      <w:bodyDiv w:val="1"/>
      <w:marLeft w:val="0"/>
      <w:marRight w:val="0"/>
      <w:marTop w:val="0"/>
      <w:marBottom w:val="0"/>
      <w:divBdr>
        <w:top w:val="none" w:sz="0" w:space="0" w:color="auto"/>
        <w:left w:val="none" w:sz="0" w:space="0" w:color="auto"/>
        <w:bottom w:val="none" w:sz="0" w:space="0" w:color="auto"/>
        <w:right w:val="none" w:sz="0" w:space="0" w:color="auto"/>
      </w:divBdr>
    </w:div>
    <w:div w:id="1947495245">
      <w:bodyDiv w:val="1"/>
      <w:marLeft w:val="0"/>
      <w:marRight w:val="0"/>
      <w:marTop w:val="0"/>
      <w:marBottom w:val="0"/>
      <w:divBdr>
        <w:top w:val="none" w:sz="0" w:space="0" w:color="auto"/>
        <w:left w:val="none" w:sz="0" w:space="0" w:color="auto"/>
        <w:bottom w:val="none" w:sz="0" w:space="0" w:color="auto"/>
        <w:right w:val="none" w:sz="0" w:space="0" w:color="auto"/>
      </w:divBdr>
    </w:div>
    <w:div w:id="1997103538">
      <w:bodyDiv w:val="1"/>
      <w:marLeft w:val="0"/>
      <w:marRight w:val="0"/>
      <w:marTop w:val="0"/>
      <w:marBottom w:val="0"/>
      <w:divBdr>
        <w:top w:val="none" w:sz="0" w:space="0" w:color="auto"/>
        <w:left w:val="none" w:sz="0" w:space="0" w:color="auto"/>
        <w:bottom w:val="none" w:sz="0" w:space="0" w:color="auto"/>
        <w:right w:val="none" w:sz="0" w:space="0" w:color="auto"/>
      </w:divBdr>
    </w:div>
    <w:div w:id="2017682138">
      <w:bodyDiv w:val="1"/>
      <w:marLeft w:val="0"/>
      <w:marRight w:val="0"/>
      <w:marTop w:val="0"/>
      <w:marBottom w:val="0"/>
      <w:divBdr>
        <w:top w:val="none" w:sz="0" w:space="0" w:color="auto"/>
        <w:left w:val="none" w:sz="0" w:space="0" w:color="auto"/>
        <w:bottom w:val="none" w:sz="0" w:space="0" w:color="auto"/>
        <w:right w:val="none" w:sz="0" w:space="0" w:color="auto"/>
      </w:divBdr>
    </w:div>
    <w:div w:id="2031835220">
      <w:bodyDiv w:val="1"/>
      <w:marLeft w:val="0"/>
      <w:marRight w:val="0"/>
      <w:marTop w:val="0"/>
      <w:marBottom w:val="0"/>
      <w:divBdr>
        <w:top w:val="none" w:sz="0" w:space="0" w:color="auto"/>
        <w:left w:val="none" w:sz="0" w:space="0" w:color="auto"/>
        <w:bottom w:val="none" w:sz="0" w:space="0" w:color="auto"/>
        <w:right w:val="none" w:sz="0" w:space="0" w:color="auto"/>
      </w:divBdr>
    </w:div>
    <w:div w:id="2035379552">
      <w:bodyDiv w:val="1"/>
      <w:marLeft w:val="0"/>
      <w:marRight w:val="0"/>
      <w:marTop w:val="0"/>
      <w:marBottom w:val="0"/>
      <w:divBdr>
        <w:top w:val="none" w:sz="0" w:space="0" w:color="auto"/>
        <w:left w:val="none" w:sz="0" w:space="0" w:color="auto"/>
        <w:bottom w:val="none" w:sz="0" w:space="0" w:color="auto"/>
        <w:right w:val="none" w:sz="0" w:space="0" w:color="auto"/>
      </w:divBdr>
    </w:div>
    <w:div w:id="2047023895">
      <w:bodyDiv w:val="1"/>
      <w:marLeft w:val="0"/>
      <w:marRight w:val="0"/>
      <w:marTop w:val="0"/>
      <w:marBottom w:val="0"/>
      <w:divBdr>
        <w:top w:val="none" w:sz="0" w:space="0" w:color="auto"/>
        <w:left w:val="none" w:sz="0" w:space="0" w:color="auto"/>
        <w:bottom w:val="none" w:sz="0" w:space="0" w:color="auto"/>
        <w:right w:val="none" w:sz="0" w:space="0" w:color="auto"/>
      </w:divBdr>
    </w:div>
    <w:div w:id="2052149541">
      <w:bodyDiv w:val="1"/>
      <w:marLeft w:val="0"/>
      <w:marRight w:val="0"/>
      <w:marTop w:val="0"/>
      <w:marBottom w:val="0"/>
      <w:divBdr>
        <w:top w:val="none" w:sz="0" w:space="0" w:color="auto"/>
        <w:left w:val="none" w:sz="0" w:space="0" w:color="auto"/>
        <w:bottom w:val="none" w:sz="0" w:space="0" w:color="auto"/>
        <w:right w:val="none" w:sz="0" w:space="0" w:color="auto"/>
      </w:divBdr>
    </w:div>
    <w:div w:id="2068216658">
      <w:bodyDiv w:val="1"/>
      <w:marLeft w:val="0"/>
      <w:marRight w:val="0"/>
      <w:marTop w:val="0"/>
      <w:marBottom w:val="0"/>
      <w:divBdr>
        <w:top w:val="none" w:sz="0" w:space="0" w:color="auto"/>
        <w:left w:val="none" w:sz="0" w:space="0" w:color="auto"/>
        <w:bottom w:val="none" w:sz="0" w:space="0" w:color="auto"/>
        <w:right w:val="none" w:sz="0" w:space="0" w:color="auto"/>
      </w:divBdr>
    </w:div>
    <w:div w:id="2069305431">
      <w:bodyDiv w:val="1"/>
      <w:marLeft w:val="0"/>
      <w:marRight w:val="0"/>
      <w:marTop w:val="0"/>
      <w:marBottom w:val="0"/>
      <w:divBdr>
        <w:top w:val="none" w:sz="0" w:space="0" w:color="auto"/>
        <w:left w:val="none" w:sz="0" w:space="0" w:color="auto"/>
        <w:bottom w:val="none" w:sz="0" w:space="0" w:color="auto"/>
        <w:right w:val="none" w:sz="0" w:space="0" w:color="auto"/>
      </w:divBdr>
    </w:div>
    <w:div w:id="208707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rs6454\AppData\Local\Microsoft\Windows\Temporary%20Internet%20Files\Content.Outlook\SZQU2ZO1\TEMPLATE%20SENTENCIA-RESOLUCION%20-%20TRIBUNAL%20DE%20APELACIONES%20(2015)%20-%20VERSION%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810">
          <a:solidFill>
            <a:schemeClr val="tx1"/>
          </a:solidFill>
        </a:ln>
        <a:effectLst/>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E0F50-8AD3-4BC8-9F8F-CAA45B724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SENTENCIA-RESOLUCION - TRIBUNAL DE APELACIONES (2015) - VERSION 6</Template>
  <TotalTime>8</TotalTime>
  <Pages>1</Pages>
  <Words>6144</Words>
  <Characters>35027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Estado Libre Asociado de Puerto Rico</vt:lpstr>
    </vt:vector>
  </TitlesOfParts>
  <Company>Administración de Tribunales</Company>
  <LinksUpToDate>false</LinksUpToDate>
  <CharactersWithSpaces>41089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Libre Asociado de Puerto Rico</dc:title>
  <dc:creator>Wanda Rodriguez Serrano</dc:creator>
  <cp:lastModifiedBy>Dora Mont Rivera</cp:lastModifiedBy>
  <cp:revision>3</cp:revision>
  <cp:lastPrinted>2025-05-12T17:57:00Z</cp:lastPrinted>
  <dcterms:created xsi:type="dcterms:W3CDTF">2025-05-12T17:58:00Z</dcterms:created>
  <dcterms:modified xsi:type="dcterms:W3CDTF">2025-05-12T19:40:00Z</dcterms:modified>
</cp:coreProperties>
</file>